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6B404" w14:textId="4778B431" w:rsidR="00D95E90" w:rsidRPr="00247B50" w:rsidRDefault="0001297D" w:rsidP="001F527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247B50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OŠ </w:t>
      </w:r>
      <w:r w:rsidR="004171E0">
        <w:rPr>
          <w:rFonts w:ascii="Times New Roman" w:hAnsi="Times New Roman" w:cs="Times New Roman"/>
          <w:b/>
          <w:bCs/>
          <w:color w:val="000000" w:themeColor="text1"/>
          <w:lang w:val="hr-HR"/>
        </w:rPr>
        <w:t>ANDRIJE KAČIĆA MIOŠIĆA, DONJA VOĆA</w:t>
      </w:r>
    </w:p>
    <w:p w14:paraId="665AF175" w14:textId="77777777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49EE03DF" w14:textId="11FDFBAD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Na temelju članka 7. Pravilnika o načinu i postupku zapošljavanja u O</w:t>
      </w:r>
      <w:r w:rsidR="0089715E" w:rsidRPr="0089715E">
        <w:rPr>
          <w:rFonts w:ascii="Times New Roman" w:hAnsi="Times New Roman" w:cs="Times New Roman"/>
          <w:color w:val="000000" w:themeColor="text1"/>
          <w:lang w:val="hr-HR"/>
        </w:rPr>
        <w:t xml:space="preserve">Š 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Andrije Kačića Miošića, Donja Voća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, a vezano uz raspisani na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>tječaj KLASA: 112-0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4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>/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22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>-01/</w:t>
      </w:r>
      <w:r w:rsidR="00A3349C">
        <w:rPr>
          <w:rFonts w:ascii="Times New Roman" w:hAnsi="Times New Roman" w:cs="Times New Roman"/>
          <w:color w:val="000000" w:themeColor="text1"/>
          <w:lang w:val="hr-HR"/>
        </w:rPr>
        <w:t>4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, URBROJ</w:t>
      </w:r>
      <w:r w:rsidR="00E70E82" w:rsidRPr="0089715E">
        <w:rPr>
          <w:rFonts w:ascii="Times New Roman" w:hAnsi="Times New Roman" w:cs="Times New Roman"/>
          <w:color w:val="000000" w:themeColor="text1"/>
          <w:lang w:val="hr-HR"/>
        </w:rPr>
        <w:t>:</w:t>
      </w:r>
      <w:r w:rsidR="00FD0292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>2186-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117-01-22-1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 od </w:t>
      </w:r>
      <w:r w:rsidR="0089715E" w:rsidRPr="0089715E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A3349C">
        <w:rPr>
          <w:rFonts w:ascii="Times New Roman" w:hAnsi="Times New Roman" w:cs="Times New Roman"/>
          <w:color w:val="000000" w:themeColor="text1"/>
          <w:lang w:val="hr-HR"/>
        </w:rPr>
        <w:t>2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 xml:space="preserve">. 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listopad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20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22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. godine za zasnivanje radnog odnosa na radnom mjestu </w:t>
      </w:r>
      <w:r w:rsidR="0089715E" w:rsidRPr="0089715E">
        <w:rPr>
          <w:rFonts w:ascii="Times New Roman" w:hAnsi="Times New Roman" w:cs="Times New Roman"/>
          <w:color w:val="000000" w:themeColor="text1"/>
          <w:lang w:val="hr-HR"/>
        </w:rPr>
        <w:t xml:space="preserve">UČITELJ/ICA </w:t>
      </w:r>
      <w:r w:rsidR="00A3349C">
        <w:rPr>
          <w:rFonts w:ascii="Times New Roman" w:hAnsi="Times New Roman" w:cs="Times New Roman"/>
          <w:color w:val="000000" w:themeColor="text1"/>
          <w:lang w:val="hr-HR"/>
        </w:rPr>
        <w:t>RAZREDNE NASTAVE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 na </w:t>
      </w:r>
      <w:r w:rsidR="00A3349C">
        <w:rPr>
          <w:rFonts w:ascii="Times New Roman" w:hAnsi="Times New Roman" w:cs="Times New Roman"/>
          <w:color w:val="000000" w:themeColor="text1"/>
          <w:lang w:val="hr-HR"/>
        </w:rPr>
        <w:t>ne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određeno puno radno vrijeme</w:t>
      </w:r>
      <w:r w:rsidR="00AD7454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A3349C">
        <w:rPr>
          <w:rFonts w:ascii="Times New Roman" w:hAnsi="Times New Roman" w:cs="Times New Roman"/>
          <w:color w:val="000000" w:themeColor="text1"/>
          <w:lang w:val="hr-HR"/>
        </w:rPr>
        <w:t>40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 sati tjedno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 xml:space="preserve"> ukupno radno vrijeme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, Povjerenstvo za</w:t>
      </w:r>
      <w:r w:rsidR="0089715E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procjenu i 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 vrednovanje kandidata objavljuje</w:t>
      </w:r>
    </w:p>
    <w:p w14:paraId="4B177134" w14:textId="77777777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D5EC702" w14:textId="6F8E9BCC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b/>
          <w:color w:val="000000" w:themeColor="text1"/>
          <w:lang w:val="hr-HR"/>
        </w:rPr>
        <w:t xml:space="preserve">SADRŽAJ I NAČIN TESTIRANJA I PRAVNE IZVORE ZA PRIPREMANJE KANDIDATA ZA </w:t>
      </w:r>
      <w:r w:rsidR="004171E0">
        <w:rPr>
          <w:rFonts w:ascii="Times New Roman" w:hAnsi="Times New Roman" w:cs="Times New Roman"/>
          <w:b/>
          <w:color w:val="000000" w:themeColor="text1"/>
          <w:lang w:val="hr-HR"/>
        </w:rPr>
        <w:t>RAZGOVOR</w:t>
      </w:r>
    </w:p>
    <w:p w14:paraId="18057FE1" w14:textId="77777777" w:rsidR="001F5277" w:rsidRPr="0089715E" w:rsidRDefault="001F5277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0DAAC5D7" w14:textId="6F7F02D7" w:rsidR="001F5277" w:rsidRPr="004171E0" w:rsidRDefault="001F5277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b/>
          <w:color w:val="000000" w:themeColor="text1"/>
          <w:lang w:val="hr-HR"/>
        </w:rPr>
        <w:t xml:space="preserve">VRIJEME I MJESTO ODRŽAVANJA </w:t>
      </w:r>
      <w:r w:rsidR="004171E0">
        <w:rPr>
          <w:rFonts w:ascii="Times New Roman" w:hAnsi="Times New Roman" w:cs="Times New Roman"/>
          <w:b/>
          <w:color w:val="000000" w:themeColor="text1"/>
          <w:lang w:val="hr-HR"/>
        </w:rPr>
        <w:t>UEMENOG TESTIRANJA</w:t>
      </w:r>
      <w:r w:rsidR="00A3349C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4171E0">
        <w:rPr>
          <w:rFonts w:ascii="Times New Roman" w:hAnsi="Times New Roman" w:cs="Times New Roman"/>
          <w:b/>
          <w:color w:val="000000" w:themeColor="text1"/>
          <w:lang w:val="hr-HR"/>
        </w:rPr>
        <w:t>(INTERVJU)</w:t>
      </w:r>
      <w:r w:rsidRPr="0089715E">
        <w:rPr>
          <w:rFonts w:ascii="Times New Roman" w:hAnsi="Times New Roman" w:cs="Times New Roman"/>
          <w:b/>
          <w:color w:val="000000" w:themeColor="text1"/>
          <w:lang w:val="hr-HR"/>
        </w:rPr>
        <w:t>:</w:t>
      </w:r>
    </w:p>
    <w:p w14:paraId="6B749229" w14:textId="472ADE5E" w:rsidR="001F5277" w:rsidRPr="00A3349C" w:rsidRDefault="001F5277" w:rsidP="001F5277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A3349C">
        <w:rPr>
          <w:rFonts w:ascii="Times New Roman" w:hAnsi="Times New Roman" w:cs="Times New Roman"/>
          <w:lang w:val="hr-HR"/>
        </w:rPr>
        <w:t>Usmeno tes</w:t>
      </w:r>
      <w:r w:rsidR="00A3349C" w:rsidRPr="00A3349C">
        <w:rPr>
          <w:rFonts w:ascii="Times New Roman" w:hAnsi="Times New Roman" w:cs="Times New Roman"/>
          <w:lang w:val="hr-HR"/>
        </w:rPr>
        <w:t>tiranje (intervju) održati će se 31. listopada 2022. u prostorima Osnovne škole Andrije Kačića Miošića, Donja Voća.</w:t>
      </w:r>
      <w:r w:rsidR="008256DC">
        <w:rPr>
          <w:rFonts w:ascii="Times New Roman" w:hAnsi="Times New Roman" w:cs="Times New Roman"/>
          <w:lang w:val="hr-HR"/>
        </w:rPr>
        <w:t xml:space="preserve"> O vremenu </w:t>
      </w:r>
      <w:r w:rsidR="00376A82">
        <w:rPr>
          <w:rFonts w:ascii="Times New Roman" w:hAnsi="Times New Roman" w:cs="Times New Roman"/>
          <w:lang w:val="hr-HR"/>
        </w:rPr>
        <w:t>testiranja kandidati će biti obaviješteni putem elektroničke pošte.</w:t>
      </w:r>
    </w:p>
    <w:p w14:paraId="72180C8D" w14:textId="77777777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1FA67F86" w14:textId="77777777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b/>
          <w:color w:val="000000" w:themeColor="text1"/>
          <w:lang w:val="hr-HR"/>
        </w:rPr>
        <w:t>PRAVILA TESTIRANJA:</w:t>
      </w:r>
    </w:p>
    <w:p w14:paraId="51770CB9" w14:textId="77777777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14:paraId="5F2FF543" w14:textId="54E1718C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Sukladno odredbama Pravilnika o načinu i postupku zapošljavanja u O</w:t>
      </w:r>
      <w:r w:rsidR="0029581D" w:rsidRPr="0089715E">
        <w:rPr>
          <w:rFonts w:ascii="Times New Roman" w:hAnsi="Times New Roman" w:cs="Times New Roman"/>
          <w:color w:val="000000" w:themeColor="text1"/>
          <w:lang w:val="hr-HR"/>
        </w:rPr>
        <w:t xml:space="preserve">Š 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Andrije Kačića Miošića, Donja Voća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, obavit će se provjera znanja i sposobnosti kandidata.</w:t>
      </w:r>
    </w:p>
    <w:p w14:paraId="4DE1064C" w14:textId="27F13C1B" w:rsidR="0001297D" w:rsidRPr="0089715E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Provjera se sastoji od  razgovora (intervjua) kandidata s Povjerenstvom.</w:t>
      </w:r>
    </w:p>
    <w:p w14:paraId="4CBB6E38" w14:textId="208EC4E1" w:rsidR="0001297D" w:rsidRPr="0089715E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Kandidati koji ispunjavaju formalne uvjete iz natječaja obvezni su pristupiti provjeri znanja i sposobnosti putem 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razgovora (intervjua)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4D8047AA" w14:textId="1F0D9417" w:rsidR="00CD27F8" w:rsidRPr="0089715E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Ako kandidat ne </w:t>
      </w:r>
      <w:r w:rsidR="004171E0">
        <w:rPr>
          <w:rFonts w:ascii="Times New Roman" w:hAnsi="Times New Roman" w:cs="Times New Roman"/>
          <w:color w:val="000000" w:themeColor="text1"/>
          <w:lang w:val="hr-HR"/>
        </w:rPr>
        <w:t>dođe na razgovor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, smatra se da je povukao prijavu na natječaj.</w:t>
      </w:r>
    </w:p>
    <w:p w14:paraId="4D4A1F1F" w14:textId="77777777" w:rsidR="00CD27F8" w:rsidRPr="0089715E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Kandidati/</w:t>
      </w:r>
      <w:proofErr w:type="spellStart"/>
      <w:r w:rsidRPr="0089715E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 dužni su sa sobom ponijeti osobnu iskaznicu ili drugu identifikacijsku javnu ispravu na temelju koje se utvrđuje identitet kandidata/</w:t>
      </w:r>
      <w:proofErr w:type="spellStart"/>
      <w:r w:rsidRPr="0089715E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89715E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075A4161" w14:textId="2776D4F6" w:rsidR="00CC40CA" w:rsidRPr="00C41D5E" w:rsidRDefault="004171E0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Razgovoru</w:t>
      </w:r>
      <w:r w:rsidR="00C4395C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ne mogu pristupiti kandidati koji ne mogu dokazati identitet i osobe za koje je Povjerenstvo utvrdilo da ne ispunjavaju formalne uvjete iz natječaja, te čije prijave nisu pravodobne i potpune.</w:t>
      </w:r>
    </w:p>
    <w:p w14:paraId="2C8AD778" w14:textId="77777777" w:rsidR="00CC40CA" w:rsidRPr="0089715E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Povjerenstvo kroz intervju s kandidatima utvrđuje znanja, sposobnosti i vještine te interese, profesionalne ciljeve i motivaciju kandidata za rad na radnom mjestu za koje se prijavio.</w:t>
      </w:r>
    </w:p>
    <w:p w14:paraId="6578D708" w14:textId="1D348EE0" w:rsidR="00CC40CA" w:rsidRPr="0089715E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Intervju se boduje na način da svaki član Povjerenstva ima pravo postavljati pitanja koja se vrednuju od strane svakog član</w:t>
      </w:r>
      <w:r w:rsidR="00A3349C">
        <w:rPr>
          <w:rFonts w:ascii="Times New Roman" w:hAnsi="Times New Roman" w:cs="Times New Roman"/>
          <w:color w:val="000000" w:themeColor="text1"/>
          <w:lang w:val="hr-HR"/>
        </w:rPr>
        <w:t xml:space="preserve">a Povjerenstva od 1 do </w:t>
      </w:r>
      <w:r w:rsidR="00376A82">
        <w:rPr>
          <w:rFonts w:ascii="Times New Roman" w:hAnsi="Times New Roman" w:cs="Times New Roman"/>
          <w:color w:val="000000" w:themeColor="text1"/>
          <w:lang w:val="hr-HR"/>
        </w:rPr>
        <w:t>10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67DE2FD6" w14:textId="77777777" w:rsidR="00CC40CA" w:rsidRPr="0089715E" w:rsidRDefault="00CC40CA" w:rsidP="001F5277">
      <w:pPr>
        <w:spacing w:after="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51DE0E17" w14:textId="68E6EEC4" w:rsidR="00CC40CA" w:rsidRPr="0089715E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Nakon </w:t>
      </w:r>
      <w:r w:rsidR="00074FFB" w:rsidRPr="0089715E">
        <w:rPr>
          <w:rFonts w:ascii="Times New Roman" w:hAnsi="Times New Roman" w:cs="Times New Roman"/>
          <w:color w:val="000000" w:themeColor="text1"/>
          <w:lang w:val="hr-HR"/>
        </w:rPr>
        <w:t>provedenog postupka testiranja, Povjerenstvo utvrđuje rang listu kandidata prema ukupnom broju bodova, te ju dostavlja ravnatelj</w:t>
      </w:r>
      <w:r w:rsidR="00C41D5E">
        <w:rPr>
          <w:rFonts w:ascii="Times New Roman" w:hAnsi="Times New Roman" w:cs="Times New Roman"/>
          <w:color w:val="000000" w:themeColor="text1"/>
          <w:lang w:val="hr-HR"/>
        </w:rPr>
        <w:t>ici</w:t>
      </w:r>
      <w:r w:rsidR="00074FFB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škole. Na temelju dostavljene rang liste ravnatelj</w:t>
      </w:r>
      <w:r w:rsidR="00C41D5E">
        <w:rPr>
          <w:rFonts w:ascii="Times New Roman" w:hAnsi="Times New Roman" w:cs="Times New Roman"/>
          <w:color w:val="000000" w:themeColor="text1"/>
          <w:lang w:val="hr-HR"/>
        </w:rPr>
        <w:t>ica</w:t>
      </w:r>
      <w:r w:rsidR="00074FFB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odlučuje kojeg će od tri najbolje rangirana kandidata predložiti Školskom odboru. Prije donošenja odluke o kandidatu, ravnatelj</w:t>
      </w:r>
      <w:r w:rsidR="00C41D5E">
        <w:rPr>
          <w:rFonts w:ascii="Times New Roman" w:hAnsi="Times New Roman" w:cs="Times New Roman"/>
          <w:color w:val="000000" w:themeColor="text1"/>
          <w:lang w:val="hr-HR"/>
        </w:rPr>
        <w:t>ica</w:t>
      </w:r>
      <w:r w:rsidR="00074FFB" w:rsidRPr="0089715E">
        <w:rPr>
          <w:rFonts w:ascii="Times New Roman" w:hAnsi="Times New Roman" w:cs="Times New Roman"/>
          <w:color w:val="000000" w:themeColor="text1"/>
          <w:lang w:val="hr-HR"/>
        </w:rPr>
        <w:t xml:space="preserve"> zadržava pravo pozvati kandidate na razgovor.</w:t>
      </w:r>
    </w:p>
    <w:p w14:paraId="4ECF7108" w14:textId="7E62D5DA" w:rsidR="00074FFB" w:rsidRPr="0089715E" w:rsidRDefault="00074FFB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89715E">
        <w:rPr>
          <w:rFonts w:ascii="Times New Roman" w:hAnsi="Times New Roman" w:cs="Times New Roman"/>
          <w:color w:val="000000" w:themeColor="text1"/>
          <w:lang w:val="hr-HR"/>
        </w:rPr>
        <w:t>O rezultatima natječaja kandidati će biti obaviješteni sukladno članku 24</w:t>
      </w:r>
      <w:r w:rsidR="00C41D5E">
        <w:rPr>
          <w:rFonts w:ascii="Times New Roman" w:hAnsi="Times New Roman" w:cs="Times New Roman"/>
          <w:color w:val="000000" w:themeColor="text1"/>
          <w:lang w:val="hr-HR"/>
        </w:rPr>
        <w:t>.</w:t>
      </w:r>
      <w:r w:rsidRPr="0089715E">
        <w:rPr>
          <w:rFonts w:ascii="Times New Roman" w:hAnsi="Times New Roman" w:cs="Times New Roman"/>
          <w:color w:val="000000" w:themeColor="text1"/>
          <w:lang w:val="hr-HR"/>
        </w:rPr>
        <w:t xml:space="preserve"> Pravilnika.</w:t>
      </w:r>
    </w:p>
    <w:p w14:paraId="0730103C" w14:textId="77777777" w:rsidR="00074FFB" w:rsidRPr="0089715E" w:rsidRDefault="00074FFB" w:rsidP="001F5277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59EB767B" w14:textId="5D9CD03A" w:rsidR="00074FFB" w:rsidRPr="0041025D" w:rsidRDefault="00627D31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lang w:val="hr-HR"/>
        </w:rPr>
        <w:t>SADRŽAJ VREDNOVANJA KANDIDATA (</w:t>
      </w:r>
      <w:r w:rsidR="00074FFB" w:rsidRPr="0041025D">
        <w:rPr>
          <w:rFonts w:ascii="Times New Roman" w:hAnsi="Times New Roman" w:cs="Times New Roman"/>
          <w:b/>
          <w:color w:val="000000" w:themeColor="text1"/>
          <w:lang w:val="hr-HR"/>
        </w:rPr>
        <w:t>PRAVNI</w:t>
      </w:r>
      <w:r>
        <w:rPr>
          <w:rFonts w:ascii="Times New Roman" w:hAnsi="Times New Roman" w:cs="Times New Roman"/>
          <w:b/>
          <w:color w:val="000000" w:themeColor="text1"/>
          <w:lang w:val="hr-HR"/>
        </w:rPr>
        <w:t xml:space="preserve"> I DRUGI</w:t>
      </w:r>
      <w:r w:rsidR="00074FFB" w:rsidRPr="0041025D">
        <w:rPr>
          <w:rFonts w:ascii="Times New Roman" w:hAnsi="Times New Roman" w:cs="Times New Roman"/>
          <w:b/>
          <w:color w:val="000000" w:themeColor="text1"/>
          <w:lang w:val="hr-HR"/>
        </w:rPr>
        <w:t xml:space="preserve"> IZVORI ZA PRIPREMANJE KANDIDATA ZA </w:t>
      </w:r>
      <w:r w:rsidR="00C41D5E">
        <w:rPr>
          <w:rFonts w:ascii="Times New Roman" w:hAnsi="Times New Roman" w:cs="Times New Roman"/>
          <w:b/>
          <w:color w:val="000000" w:themeColor="text1"/>
          <w:lang w:val="hr-HR"/>
        </w:rPr>
        <w:t>RAZGOVOR</w:t>
      </w:r>
      <w:r>
        <w:rPr>
          <w:rFonts w:ascii="Times New Roman" w:hAnsi="Times New Roman" w:cs="Times New Roman"/>
          <w:b/>
          <w:color w:val="000000" w:themeColor="text1"/>
          <w:lang w:val="hr-HR"/>
        </w:rPr>
        <w:t>)</w:t>
      </w:r>
      <w:r w:rsidR="00074FFB" w:rsidRPr="0041025D">
        <w:rPr>
          <w:rFonts w:ascii="Times New Roman" w:hAnsi="Times New Roman" w:cs="Times New Roman"/>
          <w:b/>
          <w:color w:val="000000" w:themeColor="text1"/>
          <w:lang w:val="hr-HR"/>
        </w:rPr>
        <w:t xml:space="preserve"> ZA RADNO MJEST</w:t>
      </w:r>
      <w:r w:rsidR="00007098" w:rsidRPr="0041025D">
        <w:rPr>
          <w:rFonts w:ascii="Times New Roman" w:hAnsi="Times New Roman" w:cs="Times New Roman"/>
          <w:b/>
          <w:color w:val="000000" w:themeColor="text1"/>
          <w:lang w:val="hr-HR"/>
        </w:rPr>
        <w:t xml:space="preserve">O </w:t>
      </w:r>
      <w:r w:rsidR="00C41D5E">
        <w:rPr>
          <w:rFonts w:ascii="Times New Roman" w:hAnsi="Times New Roman" w:cs="Times New Roman"/>
          <w:b/>
          <w:color w:val="000000" w:themeColor="text1"/>
          <w:lang w:val="hr-HR"/>
        </w:rPr>
        <w:t>UČITELJA/ICE ENGLESKOG JEZIKA</w:t>
      </w:r>
      <w:r w:rsidR="00007098" w:rsidRPr="0041025D">
        <w:rPr>
          <w:rFonts w:ascii="Times New Roman" w:hAnsi="Times New Roman" w:cs="Times New Roman"/>
          <w:b/>
          <w:color w:val="000000" w:themeColor="text1"/>
          <w:lang w:val="hr-HR"/>
        </w:rPr>
        <w:t xml:space="preserve"> NASTAVE</w:t>
      </w:r>
      <w:r w:rsidR="00074FFB" w:rsidRPr="0041025D">
        <w:rPr>
          <w:rFonts w:ascii="Times New Roman" w:hAnsi="Times New Roman" w:cs="Times New Roman"/>
          <w:b/>
          <w:color w:val="000000" w:themeColor="text1"/>
          <w:lang w:val="hr-HR"/>
        </w:rPr>
        <w:t xml:space="preserve"> SU:</w:t>
      </w:r>
    </w:p>
    <w:p w14:paraId="392D3EBA" w14:textId="388F27C5" w:rsidR="00074FFB" w:rsidRPr="00A3349C" w:rsidRDefault="00074FFB" w:rsidP="00BB518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A3349C">
        <w:rPr>
          <w:rFonts w:ascii="Times New Roman" w:hAnsi="Times New Roman" w:cs="Times New Roman"/>
          <w:color w:val="000000" w:themeColor="text1"/>
          <w:sz w:val="24"/>
          <w:lang w:val="hr-HR"/>
        </w:rPr>
        <w:t>Zakon o odgoju i obrazovanju u osnovnoj i srednjoj školi (</w:t>
      </w:r>
      <w:r w:rsidR="00C41D5E" w:rsidRPr="00A3349C">
        <w:rPr>
          <w:rFonts w:ascii="Arial" w:hAnsi="Arial" w:cs="Arial"/>
          <w:szCs w:val="21"/>
        </w:rPr>
        <w:t>NN </w:t>
      </w:r>
      <w:hyperlink r:id="rId5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87/08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6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86/09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7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92/10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8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105/10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9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90/11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0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5/12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1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16/12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2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86/12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3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126/12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4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94/13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5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  <w:bdr w:val="none" w:sz="0" w:space="0" w:color="auto" w:frame="1"/>
          </w:rPr>
          <w:t>152/14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6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07/17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7" w:tgtFrame="_blank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68/18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8" w:tgtFrame="_blank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98/19</w:t>
        </w:r>
      </w:hyperlink>
      <w:r w:rsidR="00C41D5E" w:rsidRPr="00A3349C">
        <w:rPr>
          <w:rFonts w:ascii="Arial" w:hAnsi="Arial" w:cs="Arial"/>
          <w:szCs w:val="21"/>
        </w:rPr>
        <w:t>, </w:t>
      </w:r>
      <w:hyperlink r:id="rId19" w:history="1">
        <w:r w:rsidR="00C41D5E" w:rsidRPr="00A3349C">
          <w:rPr>
            <w:rStyle w:val="Hiperveza"/>
            <w:rFonts w:ascii="Arial" w:hAnsi="Arial" w:cs="Arial"/>
            <w:bCs/>
            <w:color w:val="auto"/>
            <w:szCs w:val="21"/>
            <w:u w:val="none"/>
          </w:rPr>
          <w:t>64/20</w:t>
        </w:r>
      </w:hyperlink>
      <w:r w:rsidRPr="00A3349C">
        <w:rPr>
          <w:rFonts w:ascii="Times New Roman" w:hAnsi="Times New Roman" w:cs="Times New Roman"/>
          <w:sz w:val="24"/>
          <w:lang w:val="hr-HR"/>
        </w:rPr>
        <w:t xml:space="preserve"> </w:t>
      </w:r>
      <w:r w:rsidR="000A2364" w:rsidRPr="00A3349C">
        <w:rPr>
          <w:rFonts w:ascii="Times New Roman" w:hAnsi="Times New Roman" w:cs="Times New Roman"/>
          <w:sz w:val="24"/>
          <w:lang w:val="hr-HR"/>
        </w:rPr>
        <w:t>)</w:t>
      </w:r>
    </w:p>
    <w:p w14:paraId="787C78D6" w14:textId="61721224" w:rsidR="0041025D" w:rsidRDefault="00007098" w:rsidP="00BB518C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41025D">
        <w:rPr>
          <w:color w:val="000000" w:themeColor="text1"/>
        </w:rPr>
        <w:lastRenderedPageBreak/>
        <w:t xml:space="preserve">Odluka o donošenju kurikuluma za </w:t>
      </w:r>
      <w:r w:rsidR="00A3349C">
        <w:rPr>
          <w:color w:val="000000" w:themeColor="text1"/>
        </w:rPr>
        <w:t>Hrvatski jezik</w:t>
      </w:r>
      <w:r w:rsidR="0089715E" w:rsidRPr="0041025D">
        <w:rPr>
          <w:color w:val="000000" w:themeColor="text1"/>
        </w:rPr>
        <w:t xml:space="preserve"> </w:t>
      </w:r>
      <w:r w:rsidR="00513066">
        <w:rPr>
          <w:color w:val="000000" w:themeColor="text1"/>
        </w:rPr>
        <w:t xml:space="preserve">(za 1. razred osnovne škole) </w:t>
      </w:r>
      <w:r w:rsidR="0089715E" w:rsidRPr="0041025D">
        <w:rPr>
          <w:color w:val="000000" w:themeColor="text1"/>
        </w:rPr>
        <w:t>(NN 7/2019</w:t>
      </w:r>
      <w:r w:rsidR="0089715E" w:rsidRPr="00BB518C">
        <w:rPr>
          <w:color w:val="000000" w:themeColor="text1"/>
        </w:rPr>
        <w:t>)</w:t>
      </w:r>
    </w:p>
    <w:p w14:paraId="55A7AC1D" w14:textId="7AB73F9B" w:rsidR="00A3349C" w:rsidRDefault="00A3349C" w:rsidP="00BB518C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41025D">
        <w:rPr>
          <w:color w:val="000000" w:themeColor="text1"/>
        </w:rPr>
        <w:t xml:space="preserve">Odluka o donošenju kurikuluma za </w:t>
      </w:r>
      <w:r>
        <w:rPr>
          <w:color w:val="000000" w:themeColor="text1"/>
        </w:rPr>
        <w:t>Matematiku</w:t>
      </w:r>
      <w:r w:rsidRPr="0041025D">
        <w:rPr>
          <w:color w:val="000000" w:themeColor="text1"/>
        </w:rPr>
        <w:t xml:space="preserve"> </w:t>
      </w:r>
      <w:r w:rsidR="00513066">
        <w:rPr>
          <w:color w:val="000000" w:themeColor="text1"/>
        </w:rPr>
        <w:t xml:space="preserve">(za 1. razred osnovne škole) </w:t>
      </w:r>
      <w:r w:rsidR="00513066">
        <w:rPr>
          <w:color w:val="000000" w:themeColor="text1"/>
        </w:rPr>
        <w:t xml:space="preserve"> </w:t>
      </w:r>
      <w:r w:rsidRPr="0041025D">
        <w:rPr>
          <w:color w:val="000000" w:themeColor="text1"/>
        </w:rPr>
        <w:t>(NN 7/2019</w:t>
      </w:r>
      <w:r w:rsidRPr="00BB518C">
        <w:rPr>
          <w:color w:val="000000" w:themeColor="text1"/>
        </w:rPr>
        <w:t>)</w:t>
      </w:r>
    </w:p>
    <w:p w14:paraId="05E31687" w14:textId="7BD321B6" w:rsidR="00A3349C" w:rsidRDefault="00A3349C" w:rsidP="00BB518C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41025D">
        <w:rPr>
          <w:color w:val="000000" w:themeColor="text1"/>
        </w:rPr>
        <w:t xml:space="preserve">Odluka o donošenju kurikuluma za </w:t>
      </w:r>
      <w:r>
        <w:rPr>
          <w:color w:val="000000" w:themeColor="text1"/>
        </w:rPr>
        <w:t>Prirodu i društvo</w:t>
      </w:r>
      <w:r w:rsidRPr="0041025D">
        <w:rPr>
          <w:color w:val="000000" w:themeColor="text1"/>
        </w:rPr>
        <w:t xml:space="preserve"> </w:t>
      </w:r>
      <w:r w:rsidR="00513066">
        <w:rPr>
          <w:color w:val="000000" w:themeColor="text1"/>
        </w:rPr>
        <w:t xml:space="preserve">(za 1. razred osnovne škole) </w:t>
      </w:r>
      <w:r w:rsidR="00513066">
        <w:rPr>
          <w:color w:val="000000" w:themeColor="text1"/>
        </w:rPr>
        <w:t xml:space="preserve"> </w:t>
      </w:r>
      <w:r w:rsidRPr="0041025D">
        <w:rPr>
          <w:color w:val="000000" w:themeColor="text1"/>
        </w:rPr>
        <w:t>(NN 7/2019</w:t>
      </w:r>
      <w:r w:rsidRPr="00BB518C">
        <w:rPr>
          <w:color w:val="000000" w:themeColor="text1"/>
        </w:rPr>
        <w:t>)</w:t>
      </w:r>
    </w:p>
    <w:p w14:paraId="3D887813" w14:textId="28D922C7" w:rsidR="00A3349C" w:rsidRDefault="00A3349C" w:rsidP="00BB518C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41025D">
        <w:rPr>
          <w:color w:val="000000" w:themeColor="text1"/>
        </w:rPr>
        <w:t xml:space="preserve">Odluka o donošenju kurikuluma za </w:t>
      </w:r>
      <w:r>
        <w:rPr>
          <w:color w:val="000000" w:themeColor="text1"/>
        </w:rPr>
        <w:t>Tjelesnu i zdravstvenu kulturu</w:t>
      </w:r>
      <w:r w:rsidRPr="0041025D">
        <w:rPr>
          <w:color w:val="000000" w:themeColor="text1"/>
        </w:rPr>
        <w:t xml:space="preserve"> </w:t>
      </w:r>
      <w:r w:rsidR="00513066">
        <w:rPr>
          <w:color w:val="000000" w:themeColor="text1"/>
        </w:rPr>
        <w:t xml:space="preserve">(za 1. razred osnovne škole) </w:t>
      </w:r>
      <w:r w:rsidR="00513066">
        <w:rPr>
          <w:color w:val="000000" w:themeColor="text1"/>
        </w:rPr>
        <w:t xml:space="preserve"> </w:t>
      </w:r>
      <w:r w:rsidRPr="0041025D">
        <w:rPr>
          <w:color w:val="000000" w:themeColor="text1"/>
        </w:rPr>
        <w:t>(NN 7/2019</w:t>
      </w:r>
      <w:r w:rsidRPr="00BB518C">
        <w:rPr>
          <w:color w:val="000000" w:themeColor="text1"/>
        </w:rPr>
        <w:t>)</w:t>
      </w:r>
    </w:p>
    <w:p w14:paraId="5257DC49" w14:textId="2D17FDBE" w:rsidR="00A3349C" w:rsidRDefault="00A3349C" w:rsidP="00BB518C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41025D">
        <w:rPr>
          <w:color w:val="000000" w:themeColor="text1"/>
        </w:rPr>
        <w:t xml:space="preserve">Odluka o donošenju kurikuluma za </w:t>
      </w:r>
      <w:r>
        <w:rPr>
          <w:color w:val="000000" w:themeColor="text1"/>
        </w:rPr>
        <w:t>Likovnu kulturu</w:t>
      </w:r>
      <w:r w:rsidRPr="0041025D">
        <w:rPr>
          <w:color w:val="000000" w:themeColor="text1"/>
        </w:rPr>
        <w:t xml:space="preserve"> </w:t>
      </w:r>
      <w:r w:rsidR="00513066">
        <w:rPr>
          <w:color w:val="000000" w:themeColor="text1"/>
        </w:rPr>
        <w:t xml:space="preserve">(za 1. razred osnovne škole) </w:t>
      </w:r>
      <w:r w:rsidRPr="0041025D">
        <w:rPr>
          <w:color w:val="000000" w:themeColor="text1"/>
        </w:rPr>
        <w:t>(NN 7/2019</w:t>
      </w:r>
      <w:r w:rsidRPr="00BB518C">
        <w:rPr>
          <w:color w:val="000000" w:themeColor="text1"/>
        </w:rPr>
        <w:t>)</w:t>
      </w:r>
    </w:p>
    <w:p w14:paraId="35316C65" w14:textId="0C6E2683" w:rsidR="00A3349C" w:rsidRPr="00BB518C" w:rsidRDefault="00A3349C" w:rsidP="00BB518C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41025D">
        <w:rPr>
          <w:color w:val="000000" w:themeColor="text1"/>
        </w:rPr>
        <w:t xml:space="preserve">Odluka o donošenju kurikuluma za </w:t>
      </w:r>
      <w:r>
        <w:rPr>
          <w:color w:val="000000" w:themeColor="text1"/>
        </w:rPr>
        <w:t>Glazbenu kulturu</w:t>
      </w:r>
      <w:r w:rsidRPr="0041025D">
        <w:rPr>
          <w:color w:val="000000" w:themeColor="text1"/>
        </w:rPr>
        <w:t xml:space="preserve"> </w:t>
      </w:r>
      <w:r w:rsidR="00513066">
        <w:rPr>
          <w:color w:val="000000" w:themeColor="text1"/>
        </w:rPr>
        <w:t xml:space="preserve">(za 1. razred osnovne škole) </w:t>
      </w:r>
      <w:bookmarkStart w:id="0" w:name="_GoBack"/>
      <w:bookmarkEnd w:id="0"/>
      <w:r w:rsidRPr="0041025D">
        <w:rPr>
          <w:color w:val="000000" w:themeColor="text1"/>
        </w:rPr>
        <w:t>(NN 7/2019</w:t>
      </w:r>
      <w:r w:rsidRPr="00BB518C">
        <w:rPr>
          <w:color w:val="000000" w:themeColor="text1"/>
        </w:rPr>
        <w:t>)</w:t>
      </w:r>
    </w:p>
    <w:p w14:paraId="79A18420" w14:textId="25769ECA" w:rsidR="0041025D" w:rsidRPr="00E609EE" w:rsidRDefault="00007098" w:rsidP="0041025D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E609EE">
        <w:rPr>
          <w:color w:val="000000" w:themeColor="text1"/>
        </w:rPr>
        <w:t xml:space="preserve">Pravilnik o načinima, postupcima i elementima vrednovanja učenika u osnovnoj i srednjoj školi </w:t>
      </w:r>
      <w:r w:rsidR="00E609EE" w:rsidRPr="00E609EE">
        <w:rPr>
          <w:color w:val="000000" w:themeColor="text1"/>
        </w:rPr>
        <w:t>(</w:t>
      </w:r>
      <w:r w:rsidR="00C41D5E">
        <w:rPr>
          <w:color w:val="000000"/>
        </w:rPr>
        <w:t>112/10, 82/19, 43/20 i 100/21</w:t>
      </w:r>
      <w:r w:rsidR="00E609EE" w:rsidRPr="00E609EE">
        <w:rPr>
          <w:color w:val="000000" w:themeColor="text1"/>
        </w:rPr>
        <w:t>.)</w:t>
      </w:r>
    </w:p>
    <w:p w14:paraId="3D40A6A3" w14:textId="77777777" w:rsidR="00627D31" w:rsidRDefault="00007098" w:rsidP="00627D31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E609EE">
        <w:rPr>
          <w:color w:val="000000" w:themeColor="text1"/>
        </w:rPr>
        <w:t>Pravilnik o načinu postupanja odgojno-obrazovnih radnika školskih ustanova u poduzimanju mjera zaštite prava učenika te prijave svakog kršenja tih prava</w:t>
      </w:r>
      <w:r w:rsidR="00E609EE">
        <w:rPr>
          <w:color w:val="000000" w:themeColor="text1"/>
        </w:rPr>
        <w:t xml:space="preserve"> (NN 132/13)</w:t>
      </w:r>
    </w:p>
    <w:p w14:paraId="75BE3612" w14:textId="77777777" w:rsidR="00627D31" w:rsidRPr="00627D31" w:rsidRDefault="00007098" w:rsidP="00627D31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627D31">
        <w:rPr>
          <w:color w:val="000000" w:themeColor="text1"/>
        </w:rPr>
        <w:t>Pravilnik o osnovnoškolskom i srednjoškolskom odgoju i obrazovanju učenika s teškoćama u razvoju</w:t>
      </w:r>
      <w:r w:rsidR="00E609EE" w:rsidRPr="00627D31">
        <w:rPr>
          <w:color w:val="000000" w:themeColor="text1"/>
        </w:rPr>
        <w:t xml:space="preserve"> (24/15)</w:t>
      </w:r>
      <w:r w:rsidR="00627D31" w:rsidRPr="00627D31">
        <w:t xml:space="preserve"> </w:t>
      </w:r>
    </w:p>
    <w:p w14:paraId="0EB9E21E" w14:textId="787A648B" w:rsidR="00A354F0" w:rsidRPr="0089715E" w:rsidRDefault="00A354F0" w:rsidP="0089715E">
      <w:pPr>
        <w:pStyle w:val="Odlomakpopisa"/>
        <w:ind w:left="3600"/>
        <w:rPr>
          <w:rFonts w:ascii="Times New Roman" w:hAnsi="Times New Roman" w:cs="Times New Roman"/>
          <w:color w:val="FF0000"/>
        </w:rPr>
      </w:pPr>
      <w:r w:rsidRPr="0089715E">
        <w:rPr>
          <w:rFonts w:ascii="Times New Roman" w:hAnsi="Times New Roman" w:cs="Times New Roman"/>
          <w:b/>
          <w:lang w:val="hr-HR"/>
        </w:rPr>
        <w:t xml:space="preserve">Povjerenstvo za </w:t>
      </w:r>
      <w:r w:rsidR="00007098" w:rsidRPr="0089715E">
        <w:rPr>
          <w:rFonts w:ascii="Times New Roman" w:hAnsi="Times New Roman" w:cs="Times New Roman"/>
          <w:b/>
          <w:lang w:val="hr-HR"/>
        </w:rPr>
        <w:t xml:space="preserve">procjenu i </w:t>
      </w:r>
      <w:r w:rsidRPr="0089715E">
        <w:rPr>
          <w:rFonts w:ascii="Times New Roman" w:hAnsi="Times New Roman" w:cs="Times New Roman"/>
          <w:b/>
          <w:lang w:val="hr-HR"/>
        </w:rPr>
        <w:t xml:space="preserve">vrednovanje kandidata </w:t>
      </w:r>
    </w:p>
    <w:sectPr w:rsidR="00A354F0" w:rsidRPr="0089715E" w:rsidSect="005E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2F51F07"/>
    <w:multiLevelType w:val="hybridMultilevel"/>
    <w:tmpl w:val="630C2C62"/>
    <w:lvl w:ilvl="0" w:tplc="F42A9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97D"/>
    <w:rsid w:val="00007098"/>
    <w:rsid w:val="0001297D"/>
    <w:rsid w:val="00074FFB"/>
    <w:rsid w:val="000A2364"/>
    <w:rsid w:val="001F5277"/>
    <w:rsid w:val="00247B50"/>
    <w:rsid w:val="0029581D"/>
    <w:rsid w:val="00376A82"/>
    <w:rsid w:val="0041025D"/>
    <w:rsid w:val="004171E0"/>
    <w:rsid w:val="00513066"/>
    <w:rsid w:val="005D3D52"/>
    <w:rsid w:val="005E1A83"/>
    <w:rsid w:val="00627D31"/>
    <w:rsid w:val="006E3218"/>
    <w:rsid w:val="008256DC"/>
    <w:rsid w:val="0089715E"/>
    <w:rsid w:val="00A3349C"/>
    <w:rsid w:val="00A354F0"/>
    <w:rsid w:val="00AD7454"/>
    <w:rsid w:val="00BB518C"/>
    <w:rsid w:val="00C41D5E"/>
    <w:rsid w:val="00C4395C"/>
    <w:rsid w:val="00CC40CA"/>
    <w:rsid w:val="00CD27F8"/>
    <w:rsid w:val="00D349D6"/>
    <w:rsid w:val="00D95E90"/>
    <w:rsid w:val="00E609EE"/>
    <w:rsid w:val="00E70E82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1D38"/>
  <w15:docId w15:val="{D371623C-9DB7-41A0-A3C7-DE1B45C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395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0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C4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Korisnik</cp:lastModifiedBy>
  <cp:revision>13</cp:revision>
  <cp:lastPrinted>2019-09-04T13:53:00Z</cp:lastPrinted>
  <dcterms:created xsi:type="dcterms:W3CDTF">2019-09-10T11:28:00Z</dcterms:created>
  <dcterms:modified xsi:type="dcterms:W3CDTF">2022-10-24T08:46:00Z</dcterms:modified>
</cp:coreProperties>
</file>