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4AF77" w14:textId="6FBF1F6E" w:rsidR="006036DF" w:rsidRPr="004841F5" w:rsidRDefault="00EF36EA" w:rsidP="00EF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b/>
          <w:bCs/>
          <w:sz w:val="24"/>
          <w:szCs w:val="24"/>
        </w:rPr>
        <w:t>Naziv obveznika:</w:t>
      </w:r>
      <w:r w:rsidRPr="004841F5">
        <w:rPr>
          <w:rFonts w:ascii="Times New Roman" w:hAnsi="Times New Roman" w:cs="Times New Roman"/>
          <w:sz w:val="24"/>
          <w:szCs w:val="24"/>
        </w:rPr>
        <w:t xml:space="preserve"> Osnovna škola Andrije Kačića Miošića Donja Voća</w:t>
      </w:r>
    </w:p>
    <w:p w14:paraId="4DC478C3" w14:textId="79B17198" w:rsidR="00EF36EA" w:rsidRPr="004841F5" w:rsidRDefault="00EF36EA" w:rsidP="00EF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b/>
          <w:bCs/>
          <w:sz w:val="24"/>
          <w:szCs w:val="24"/>
        </w:rPr>
        <w:t>Sjedište obveznika:</w:t>
      </w:r>
      <w:r w:rsidRPr="004841F5">
        <w:rPr>
          <w:rFonts w:ascii="Times New Roman" w:hAnsi="Times New Roman" w:cs="Times New Roman"/>
          <w:sz w:val="24"/>
          <w:szCs w:val="24"/>
        </w:rPr>
        <w:t xml:space="preserve"> Donja Voća 19d</w:t>
      </w:r>
    </w:p>
    <w:p w14:paraId="20E9960E" w14:textId="69240822" w:rsidR="00EF36EA" w:rsidRPr="004841F5" w:rsidRDefault="00EF36EA" w:rsidP="00EF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b/>
          <w:bCs/>
          <w:sz w:val="24"/>
          <w:szCs w:val="24"/>
        </w:rPr>
        <w:t>Pošta i mjesto:</w:t>
      </w:r>
      <w:r w:rsidRPr="004841F5">
        <w:rPr>
          <w:rFonts w:ascii="Times New Roman" w:hAnsi="Times New Roman" w:cs="Times New Roman"/>
          <w:sz w:val="24"/>
          <w:szCs w:val="24"/>
        </w:rPr>
        <w:t xml:space="preserve"> 42245 Donja Voća</w:t>
      </w:r>
    </w:p>
    <w:p w14:paraId="3AD6CE8A" w14:textId="321AE4FB" w:rsidR="00EF36EA" w:rsidRPr="004841F5" w:rsidRDefault="00EF36EA" w:rsidP="00EF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b/>
          <w:bCs/>
          <w:sz w:val="24"/>
          <w:szCs w:val="24"/>
        </w:rPr>
        <w:t>RKP broj:</w:t>
      </w:r>
      <w:r w:rsidRPr="004841F5">
        <w:rPr>
          <w:rFonts w:ascii="Times New Roman" w:hAnsi="Times New Roman" w:cs="Times New Roman"/>
          <w:sz w:val="24"/>
          <w:szCs w:val="24"/>
        </w:rPr>
        <w:t xml:space="preserve"> 12345</w:t>
      </w:r>
    </w:p>
    <w:p w14:paraId="4681023B" w14:textId="0B5579EF" w:rsidR="00EF36EA" w:rsidRPr="004841F5" w:rsidRDefault="00EF36EA" w:rsidP="00EF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b/>
          <w:bCs/>
          <w:sz w:val="24"/>
          <w:szCs w:val="24"/>
        </w:rPr>
        <w:t>Matični broj:</w:t>
      </w:r>
      <w:r w:rsidRPr="004841F5">
        <w:rPr>
          <w:rFonts w:ascii="Times New Roman" w:hAnsi="Times New Roman" w:cs="Times New Roman"/>
          <w:sz w:val="24"/>
          <w:szCs w:val="24"/>
        </w:rPr>
        <w:t xml:space="preserve"> 03125416</w:t>
      </w:r>
    </w:p>
    <w:p w14:paraId="763756D9" w14:textId="230F8B29" w:rsidR="00EF36EA" w:rsidRPr="004841F5" w:rsidRDefault="00EF36EA" w:rsidP="00EF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b/>
          <w:bCs/>
          <w:sz w:val="24"/>
          <w:szCs w:val="24"/>
        </w:rPr>
        <w:t>OIB:</w:t>
      </w:r>
      <w:r w:rsidRPr="004841F5">
        <w:rPr>
          <w:rFonts w:ascii="Times New Roman" w:hAnsi="Times New Roman" w:cs="Times New Roman"/>
          <w:sz w:val="24"/>
          <w:szCs w:val="24"/>
        </w:rPr>
        <w:t xml:space="preserve"> 67081106157</w:t>
      </w:r>
    </w:p>
    <w:p w14:paraId="7817ECA8" w14:textId="42255585" w:rsidR="00EF36EA" w:rsidRPr="004841F5" w:rsidRDefault="00EF36EA" w:rsidP="00EF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b/>
          <w:bCs/>
          <w:sz w:val="24"/>
          <w:szCs w:val="24"/>
        </w:rPr>
        <w:t>Oznaka razine:</w:t>
      </w:r>
      <w:r w:rsidRPr="004841F5">
        <w:rPr>
          <w:rFonts w:ascii="Times New Roman" w:hAnsi="Times New Roman" w:cs="Times New Roman"/>
          <w:sz w:val="24"/>
          <w:szCs w:val="24"/>
        </w:rPr>
        <w:t xml:space="preserve"> 31</w:t>
      </w:r>
    </w:p>
    <w:p w14:paraId="3D96D6E3" w14:textId="69581EE4" w:rsidR="00EF36EA" w:rsidRPr="004841F5" w:rsidRDefault="00EF36EA" w:rsidP="00EF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b/>
          <w:bCs/>
          <w:sz w:val="24"/>
          <w:szCs w:val="24"/>
        </w:rPr>
        <w:t>Šifra djelatnosti:</w:t>
      </w:r>
      <w:r w:rsidRPr="004841F5">
        <w:rPr>
          <w:rFonts w:ascii="Times New Roman" w:hAnsi="Times New Roman" w:cs="Times New Roman"/>
          <w:sz w:val="24"/>
          <w:szCs w:val="24"/>
        </w:rPr>
        <w:t xml:space="preserve"> 8531</w:t>
      </w:r>
    </w:p>
    <w:p w14:paraId="1F6A0E4A" w14:textId="2E6F906A" w:rsidR="00EF36EA" w:rsidRPr="004841F5" w:rsidRDefault="00EF36EA" w:rsidP="00EF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b/>
          <w:bCs/>
          <w:sz w:val="24"/>
          <w:szCs w:val="24"/>
        </w:rPr>
        <w:t>Razdjel:</w:t>
      </w:r>
      <w:r w:rsidRPr="004841F5">
        <w:rPr>
          <w:rFonts w:ascii="Times New Roman" w:hAnsi="Times New Roman" w:cs="Times New Roman"/>
          <w:sz w:val="24"/>
          <w:szCs w:val="24"/>
        </w:rPr>
        <w:t xml:space="preserve"> 000</w:t>
      </w:r>
    </w:p>
    <w:p w14:paraId="76B199AC" w14:textId="2378A198" w:rsidR="00EF36EA" w:rsidRPr="004841F5" w:rsidRDefault="00EF36EA" w:rsidP="00EF3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b/>
          <w:bCs/>
          <w:sz w:val="24"/>
          <w:szCs w:val="24"/>
        </w:rPr>
        <w:t>Šifra općine:</w:t>
      </w:r>
      <w:r w:rsidRPr="004841F5">
        <w:rPr>
          <w:rFonts w:ascii="Times New Roman" w:hAnsi="Times New Roman" w:cs="Times New Roman"/>
          <w:sz w:val="24"/>
          <w:szCs w:val="24"/>
        </w:rPr>
        <w:t xml:space="preserve"> 80</w:t>
      </w:r>
    </w:p>
    <w:p w14:paraId="51E0B638" w14:textId="77777777" w:rsidR="00EF36EA" w:rsidRPr="004841F5" w:rsidRDefault="00EF36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36FE28" w14:textId="3BD8E5A7" w:rsidR="00EF36EA" w:rsidRPr="004841F5" w:rsidRDefault="00EF36EA" w:rsidP="00281E71">
      <w:pPr>
        <w:jc w:val="both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sz w:val="24"/>
          <w:szCs w:val="24"/>
        </w:rPr>
        <w:t xml:space="preserve">Osnovna škola posluje u skladu sa </w:t>
      </w:r>
      <w:r w:rsidRPr="004841F5">
        <w:rPr>
          <w:rFonts w:ascii="Times New Roman" w:hAnsi="Times New Roman" w:cs="Times New Roman"/>
          <w:i/>
          <w:iCs/>
          <w:sz w:val="24"/>
          <w:szCs w:val="24"/>
        </w:rPr>
        <w:t>Zakonom o odgoju i obrazovanju u osnovnoj i srednjoj školi</w:t>
      </w:r>
      <w:r w:rsidRPr="004841F5">
        <w:rPr>
          <w:rFonts w:ascii="Times New Roman" w:hAnsi="Times New Roman" w:cs="Times New Roman"/>
          <w:sz w:val="24"/>
          <w:szCs w:val="24"/>
        </w:rPr>
        <w:t xml:space="preserve"> (NN </w:t>
      </w:r>
      <w:hyperlink r:id="rId7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87/08</w:t>
        </w:r>
      </w:hyperlink>
      <w:r w:rsidRPr="004841F5">
        <w:rPr>
          <w:rFonts w:ascii="Times New Roman" w:hAnsi="Times New Roman" w:cs="Times New Roman"/>
          <w:sz w:val="24"/>
          <w:szCs w:val="24"/>
        </w:rPr>
        <w:t>, </w:t>
      </w:r>
      <w:hyperlink r:id="rId8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86/09</w:t>
        </w:r>
      </w:hyperlink>
      <w:r w:rsidRPr="004841F5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92/10</w:t>
        </w:r>
      </w:hyperlink>
      <w:r w:rsidRPr="004841F5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105/10</w:t>
        </w:r>
      </w:hyperlink>
      <w:r w:rsidRPr="004841F5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90/11</w:t>
        </w:r>
      </w:hyperlink>
      <w:r w:rsidRPr="004841F5">
        <w:rPr>
          <w:rFonts w:ascii="Times New Roman" w:hAnsi="Times New Roman" w:cs="Times New Roman"/>
          <w:sz w:val="24"/>
          <w:szCs w:val="24"/>
        </w:rPr>
        <w:t>, </w:t>
      </w:r>
      <w:hyperlink r:id="rId12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5/12</w:t>
        </w:r>
      </w:hyperlink>
      <w:r w:rsidRPr="004841F5">
        <w:rPr>
          <w:rFonts w:ascii="Times New Roman" w:hAnsi="Times New Roman" w:cs="Times New Roman"/>
          <w:sz w:val="24"/>
          <w:szCs w:val="24"/>
        </w:rPr>
        <w:t>, </w:t>
      </w:r>
      <w:hyperlink r:id="rId13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16/12</w:t>
        </w:r>
      </w:hyperlink>
      <w:r w:rsidRPr="004841F5">
        <w:rPr>
          <w:rFonts w:ascii="Times New Roman" w:hAnsi="Times New Roman" w:cs="Times New Roman"/>
          <w:sz w:val="24"/>
          <w:szCs w:val="24"/>
        </w:rPr>
        <w:t>, </w:t>
      </w:r>
      <w:hyperlink r:id="rId14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86/12</w:t>
        </w:r>
      </w:hyperlink>
      <w:r w:rsidRPr="004841F5">
        <w:rPr>
          <w:rFonts w:ascii="Times New Roman" w:hAnsi="Times New Roman" w:cs="Times New Roman"/>
          <w:sz w:val="24"/>
          <w:szCs w:val="24"/>
        </w:rPr>
        <w:t>, </w:t>
      </w:r>
      <w:hyperlink r:id="rId15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126/12</w:t>
        </w:r>
      </w:hyperlink>
      <w:r w:rsidRPr="004841F5">
        <w:rPr>
          <w:rFonts w:ascii="Times New Roman" w:hAnsi="Times New Roman" w:cs="Times New Roman"/>
          <w:sz w:val="24"/>
          <w:szCs w:val="24"/>
        </w:rPr>
        <w:t>, </w:t>
      </w:r>
      <w:hyperlink r:id="rId16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94/13</w:t>
        </w:r>
      </w:hyperlink>
      <w:r w:rsidRPr="004841F5">
        <w:rPr>
          <w:rFonts w:ascii="Times New Roman" w:hAnsi="Times New Roman" w:cs="Times New Roman"/>
          <w:sz w:val="24"/>
          <w:szCs w:val="24"/>
        </w:rPr>
        <w:t>, </w:t>
      </w:r>
      <w:hyperlink r:id="rId17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152/14</w:t>
        </w:r>
      </w:hyperlink>
      <w:r w:rsidRPr="004841F5">
        <w:rPr>
          <w:rFonts w:ascii="Times New Roman" w:hAnsi="Times New Roman" w:cs="Times New Roman"/>
          <w:sz w:val="24"/>
          <w:szCs w:val="24"/>
        </w:rPr>
        <w:t>, </w:t>
      </w:r>
      <w:hyperlink r:id="rId18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07/17</w:t>
        </w:r>
      </w:hyperlink>
      <w:r w:rsidRPr="004841F5">
        <w:rPr>
          <w:rFonts w:ascii="Times New Roman" w:hAnsi="Times New Roman" w:cs="Times New Roman"/>
          <w:sz w:val="24"/>
          <w:szCs w:val="24"/>
        </w:rPr>
        <w:t>, </w:t>
      </w:r>
      <w:hyperlink r:id="rId19" w:tgtFrame="_blank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68/18</w:t>
        </w:r>
      </w:hyperlink>
      <w:r w:rsidRPr="004841F5">
        <w:rPr>
          <w:rFonts w:ascii="Times New Roman" w:hAnsi="Times New Roman" w:cs="Times New Roman"/>
          <w:sz w:val="24"/>
          <w:szCs w:val="24"/>
        </w:rPr>
        <w:t>, </w:t>
      </w:r>
      <w:hyperlink r:id="rId20" w:tgtFrame="_blank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Pr="004841F5">
        <w:rPr>
          <w:rFonts w:ascii="Times New Roman" w:hAnsi="Times New Roman" w:cs="Times New Roman"/>
          <w:sz w:val="24"/>
          <w:szCs w:val="24"/>
        </w:rPr>
        <w:t>, </w:t>
      </w:r>
      <w:hyperlink r:id="rId21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64/20</w:t>
        </w:r>
      </w:hyperlink>
      <w:r w:rsidRPr="004841F5">
        <w:rPr>
          <w:rFonts w:ascii="Times New Roman" w:hAnsi="Times New Roman" w:cs="Times New Roman"/>
          <w:sz w:val="24"/>
          <w:szCs w:val="24"/>
        </w:rPr>
        <w:t>, </w:t>
      </w:r>
      <w:hyperlink r:id="rId22" w:tgtFrame="_blank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151/22</w:t>
        </w:r>
      </w:hyperlink>
      <w:r w:rsidRPr="004841F5">
        <w:rPr>
          <w:rFonts w:ascii="Times New Roman" w:hAnsi="Times New Roman" w:cs="Times New Roman"/>
          <w:sz w:val="24"/>
          <w:szCs w:val="24"/>
        </w:rPr>
        <w:t>, </w:t>
      </w:r>
      <w:hyperlink r:id="rId23" w:tgtFrame="_blank" w:history="1">
        <w:r w:rsidRPr="004841F5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156/23</w:t>
        </w:r>
      </w:hyperlink>
      <w:r w:rsidRPr="004841F5">
        <w:rPr>
          <w:rFonts w:ascii="Times New Roman" w:hAnsi="Times New Roman" w:cs="Times New Roman"/>
          <w:sz w:val="24"/>
          <w:szCs w:val="24"/>
        </w:rPr>
        <w:t xml:space="preserve">) te </w:t>
      </w:r>
      <w:r w:rsidRPr="004841F5">
        <w:rPr>
          <w:rFonts w:ascii="Times New Roman" w:hAnsi="Times New Roman" w:cs="Times New Roman"/>
          <w:i/>
          <w:iCs/>
          <w:sz w:val="24"/>
          <w:szCs w:val="24"/>
        </w:rPr>
        <w:t>Statutom škole</w:t>
      </w:r>
      <w:r w:rsidR="00281E71" w:rsidRPr="004841F5">
        <w:rPr>
          <w:rFonts w:ascii="Times New Roman" w:hAnsi="Times New Roman" w:cs="Times New Roman"/>
          <w:sz w:val="24"/>
          <w:szCs w:val="24"/>
        </w:rPr>
        <w:t>. Nastava se organizira u jednoj smjeni u matičnoj i područnoj školi (PŠ Donja Voća).</w:t>
      </w:r>
    </w:p>
    <w:p w14:paraId="2D2BD899" w14:textId="72931B52" w:rsidR="00281E71" w:rsidRPr="004841F5" w:rsidRDefault="00281E71" w:rsidP="00281E71">
      <w:pPr>
        <w:jc w:val="both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sz w:val="24"/>
          <w:szCs w:val="24"/>
        </w:rPr>
        <w:t xml:space="preserve">Godišnji financijski izvještaji sastavljeni su nakon što su proknjižene sve poslovne promjene i događaji za razdoblje siječanj - prosinac 2023. </w:t>
      </w:r>
      <w:r w:rsidR="00051427" w:rsidRPr="004841F5">
        <w:rPr>
          <w:rFonts w:ascii="Times New Roman" w:hAnsi="Times New Roman" w:cs="Times New Roman"/>
          <w:sz w:val="24"/>
          <w:szCs w:val="24"/>
        </w:rPr>
        <w:t xml:space="preserve">godine </w:t>
      </w:r>
      <w:r w:rsidRPr="004841F5">
        <w:rPr>
          <w:rFonts w:ascii="Times New Roman" w:hAnsi="Times New Roman" w:cs="Times New Roman"/>
          <w:sz w:val="24"/>
          <w:szCs w:val="24"/>
        </w:rPr>
        <w:t>u skladu s računskim planom i financijskim planom odobrenim od nadležnih tijela.</w:t>
      </w:r>
    </w:p>
    <w:p w14:paraId="00A502E4" w14:textId="3588CCC4" w:rsidR="00281E71" w:rsidRPr="004841F5" w:rsidRDefault="00281E71" w:rsidP="00281E71">
      <w:pPr>
        <w:jc w:val="both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sz w:val="24"/>
          <w:szCs w:val="24"/>
        </w:rPr>
        <w:t xml:space="preserve">Financijski izvještaji se sastavljaju i predaju prema odredbama </w:t>
      </w:r>
      <w:r w:rsidRPr="004841F5">
        <w:rPr>
          <w:rFonts w:ascii="Times New Roman" w:hAnsi="Times New Roman" w:cs="Times New Roman"/>
          <w:i/>
          <w:iCs/>
          <w:sz w:val="24"/>
          <w:szCs w:val="24"/>
        </w:rPr>
        <w:t>Pravilnika o financijskom izvještavanju u proračunskom računovodstvu</w:t>
      </w:r>
      <w:r w:rsidRPr="004841F5">
        <w:rPr>
          <w:rFonts w:ascii="Times New Roman" w:hAnsi="Times New Roman" w:cs="Times New Roman"/>
          <w:sz w:val="24"/>
          <w:szCs w:val="24"/>
        </w:rPr>
        <w:t>.</w:t>
      </w:r>
    </w:p>
    <w:p w14:paraId="74A6894B" w14:textId="001FC176" w:rsidR="00281E71" w:rsidRPr="004841F5" w:rsidRDefault="00281E71" w:rsidP="00281E71">
      <w:pPr>
        <w:jc w:val="both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sz w:val="24"/>
          <w:szCs w:val="24"/>
        </w:rPr>
        <w:t>Osoba odgovorna za sastavljanje financijskih izvještaja je</w:t>
      </w:r>
      <w:r w:rsidR="00051427" w:rsidRPr="004841F5">
        <w:rPr>
          <w:rFonts w:ascii="Times New Roman" w:hAnsi="Times New Roman" w:cs="Times New Roman"/>
          <w:sz w:val="24"/>
          <w:szCs w:val="24"/>
        </w:rPr>
        <w:t>st</w:t>
      </w:r>
      <w:r w:rsidRPr="004841F5">
        <w:rPr>
          <w:rFonts w:ascii="Times New Roman" w:hAnsi="Times New Roman" w:cs="Times New Roman"/>
          <w:sz w:val="24"/>
          <w:szCs w:val="24"/>
        </w:rPr>
        <w:t xml:space="preserve"> voditeljica računovodstva Tajana Šprem, a odgovorna osoba za predaju financijskog izvještaja jest ravnateljica Ksenija </w:t>
      </w:r>
      <w:proofErr w:type="spellStart"/>
      <w:r w:rsidRPr="004841F5">
        <w:rPr>
          <w:rFonts w:ascii="Times New Roman" w:hAnsi="Times New Roman" w:cs="Times New Roman"/>
          <w:sz w:val="24"/>
          <w:szCs w:val="24"/>
        </w:rPr>
        <w:t>Čretni</w:t>
      </w:r>
      <w:proofErr w:type="spellEnd"/>
      <w:r w:rsidRPr="004841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D630F6" w14:textId="77777777" w:rsidR="00281E71" w:rsidRPr="004841F5" w:rsidRDefault="00281E71" w:rsidP="00281E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62BF80" w14:textId="4AF17887" w:rsidR="00281E71" w:rsidRPr="004841F5" w:rsidRDefault="00281E71" w:rsidP="00281E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1F5">
        <w:rPr>
          <w:rFonts w:ascii="Times New Roman" w:hAnsi="Times New Roman" w:cs="Times New Roman"/>
          <w:b/>
          <w:bCs/>
          <w:sz w:val="24"/>
          <w:szCs w:val="24"/>
        </w:rPr>
        <w:t>BILJEŠKE UZ OBRAZAC PR-RAS</w:t>
      </w:r>
    </w:p>
    <w:p w14:paraId="031DFA01" w14:textId="16BECCCA" w:rsidR="00281E71" w:rsidRPr="004841F5" w:rsidRDefault="00281E71" w:rsidP="00281E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1F5">
        <w:rPr>
          <w:rFonts w:ascii="Times New Roman" w:hAnsi="Times New Roman" w:cs="Times New Roman"/>
          <w:b/>
          <w:bCs/>
          <w:sz w:val="24"/>
          <w:szCs w:val="24"/>
        </w:rPr>
        <w:t>za razdoblje 01.01. – 31.12.2023. godine</w:t>
      </w:r>
    </w:p>
    <w:p w14:paraId="707EBA1E" w14:textId="77777777" w:rsidR="00281E71" w:rsidRPr="004841F5" w:rsidRDefault="00281E71" w:rsidP="00281E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AB67A" w14:textId="77777777" w:rsidR="00A87ACB" w:rsidRPr="004841F5" w:rsidRDefault="00A87ACB" w:rsidP="00281E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34"/>
      </w:tblGrid>
      <w:tr w:rsidR="00B850D4" w:rsidRPr="004841F5" w14:paraId="065223FF" w14:textId="77777777" w:rsidTr="00B85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shd w:val="clear" w:color="auto" w:fill="FFD966" w:themeFill="accent4" w:themeFillTint="99"/>
          </w:tcPr>
          <w:p w14:paraId="7743FD1C" w14:textId="29963CBB" w:rsidR="00B850D4" w:rsidRPr="004841F5" w:rsidRDefault="00B850D4" w:rsidP="002A51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6 - PRIHODI POSLOVANJA</w:t>
            </w:r>
            <w:r w:rsidR="006D0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912 188,75 eura</w:t>
            </w:r>
          </w:p>
        </w:tc>
      </w:tr>
      <w:tr w:rsidR="00B850D4" w:rsidRPr="004841F5" w14:paraId="6F39A7E9" w14:textId="77777777" w:rsidTr="00B850D4">
        <w:tc>
          <w:tcPr>
            <w:tcW w:w="9072" w:type="dxa"/>
          </w:tcPr>
          <w:p w14:paraId="031F9F94" w14:textId="45DFCB1C" w:rsidR="00B850D4" w:rsidRPr="004841F5" w:rsidRDefault="00B850D4" w:rsidP="002A51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63 -</w:t>
            </w:r>
            <w:r w:rsidRPr="004841F5">
              <w:rPr>
                <w:rFonts w:ascii="Times New Roman" w:hAnsi="Times New Roman" w:cs="Times New Roman"/>
                <w:sz w:val="24"/>
                <w:szCs w:val="24"/>
              </w:rPr>
              <w:t xml:space="preserve"> POMOĆI IZ INOZEMSTAVA I OD SUBJEKATA UNUTAR OPĆEG PRORAČUNA  - 804 294,65 eura</w:t>
            </w:r>
          </w:p>
        </w:tc>
      </w:tr>
      <w:tr w:rsidR="00B850D4" w:rsidRPr="004841F5" w14:paraId="19728CD5" w14:textId="77777777" w:rsidTr="00B850D4">
        <w:tc>
          <w:tcPr>
            <w:tcW w:w="9072" w:type="dxa"/>
          </w:tcPr>
          <w:p w14:paraId="76C5B30A" w14:textId="77777777" w:rsidR="00B850D4" w:rsidRPr="004841F5" w:rsidRDefault="00B850D4" w:rsidP="002A51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636 - </w:t>
            </w:r>
            <w:r w:rsidRPr="004841F5">
              <w:rPr>
                <w:rFonts w:ascii="Times New Roman" w:hAnsi="Times New Roman" w:cs="Times New Roman"/>
                <w:sz w:val="24"/>
                <w:szCs w:val="24"/>
              </w:rPr>
              <w:t>POMOĆI PRORAČUNSKIM KORISNICIMA IZ PRORAČUNA KOJI IM NIJE NADLEŽAN – 780 668,50 eura</w:t>
            </w:r>
          </w:p>
        </w:tc>
      </w:tr>
      <w:tr w:rsidR="00B850D4" w:rsidRPr="004841F5" w14:paraId="66641B21" w14:textId="77777777" w:rsidTr="00B850D4">
        <w:tc>
          <w:tcPr>
            <w:tcW w:w="9072" w:type="dxa"/>
          </w:tcPr>
          <w:p w14:paraId="6F4287E4" w14:textId="77777777" w:rsidR="00B850D4" w:rsidRPr="004841F5" w:rsidRDefault="00B850D4" w:rsidP="002A5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sz w:val="24"/>
                <w:szCs w:val="24"/>
              </w:rPr>
              <w:t>UPLATA ZA UDŽBENIKE OD MINISTARSTVA 6 295,51 eura</w:t>
            </w:r>
          </w:p>
        </w:tc>
      </w:tr>
      <w:tr w:rsidR="00B850D4" w:rsidRPr="004841F5" w14:paraId="43539DC2" w14:textId="77777777" w:rsidTr="00B850D4">
        <w:tc>
          <w:tcPr>
            <w:tcW w:w="9072" w:type="dxa"/>
          </w:tcPr>
          <w:p w14:paraId="68EC10F6" w14:textId="77777777" w:rsidR="00B850D4" w:rsidRPr="004841F5" w:rsidRDefault="00B850D4" w:rsidP="002A5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sz w:val="24"/>
                <w:szCs w:val="24"/>
              </w:rPr>
              <w:t>ŠKOLSKA PREHRANA – 24 977,91 eura</w:t>
            </w:r>
          </w:p>
        </w:tc>
      </w:tr>
      <w:tr w:rsidR="00B850D4" w:rsidRPr="004841F5" w14:paraId="772EFDD9" w14:textId="77777777" w:rsidTr="00B850D4">
        <w:tc>
          <w:tcPr>
            <w:tcW w:w="9072" w:type="dxa"/>
          </w:tcPr>
          <w:p w14:paraId="35D994D2" w14:textId="77777777" w:rsidR="00B850D4" w:rsidRPr="004841F5" w:rsidRDefault="00B850D4" w:rsidP="002A5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sz w:val="24"/>
                <w:szCs w:val="24"/>
              </w:rPr>
              <w:t>NAKNADA ZBOG NE ZAPOŠLJAVANJA INVALIDA – 1 353,29 eura</w:t>
            </w:r>
          </w:p>
        </w:tc>
      </w:tr>
      <w:tr w:rsidR="00B850D4" w:rsidRPr="004841F5" w14:paraId="4548E6DE" w14:textId="77777777" w:rsidTr="00B850D4">
        <w:tc>
          <w:tcPr>
            <w:tcW w:w="9072" w:type="dxa"/>
          </w:tcPr>
          <w:p w14:paraId="1005B04B" w14:textId="77777777" w:rsidR="00B850D4" w:rsidRPr="004841F5" w:rsidRDefault="00B850D4" w:rsidP="002A5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sz w:val="24"/>
                <w:szCs w:val="24"/>
              </w:rPr>
              <w:t>OPOREZIVI PRIJEVOZ – 635, 60 eura</w:t>
            </w:r>
          </w:p>
        </w:tc>
      </w:tr>
      <w:tr w:rsidR="00B850D4" w:rsidRPr="004841F5" w14:paraId="6E6330FD" w14:textId="77777777" w:rsidTr="00B850D4">
        <w:tc>
          <w:tcPr>
            <w:tcW w:w="9072" w:type="dxa"/>
          </w:tcPr>
          <w:p w14:paraId="1316D7D8" w14:textId="77777777" w:rsidR="00B850D4" w:rsidRPr="004841F5" w:rsidRDefault="00B850D4" w:rsidP="002A5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sz w:val="24"/>
                <w:szCs w:val="24"/>
              </w:rPr>
              <w:t>DAR ZA DIJETE – 2 400 eura</w:t>
            </w:r>
          </w:p>
        </w:tc>
      </w:tr>
      <w:tr w:rsidR="00B850D4" w:rsidRPr="004841F5" w14:paraId="5391AC10" w14:textId="77777777" w:rsidTr="00B850D4">
        <w:tc>
          <w:tcPr>
            <w:tcW w:w="9072" w:type="dxa"/>
          </w:tcPr>
          <w:p w14:paraId="0EC9175B" w14:textId="77777777" w:rsidR="00B850D4" w:rsidRPr="004841F5" w:rsidRDefault="00B850D4" w:rsidP="002A5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sz w:val="24"/>
                <w:szCs w:val="24"/>
              </w:rPr>
              <w:t>PROGRAM PRODUŽENI BORAVAK – 3 752,04 eura</w:t>
            </w:r>
          </w:p>
        </w:tc>
      </w:tr>
      <w:tr w:rsidR="00B850D4" w:rsidRPr="004841F5" w14:paraId="6276F49B" w14:textId="77777777" w:rsidTr="00B850D4">
        <w:tc>
          <w:tcPr>
            <w:tcW w:w="9072" w:type="dxa"/>
          </w:tcPr>
          <w:p w14:paraId="19E0DC7A" w14:textId="5332D4D6" w:rsidR="00B850D4" w:rsidRPr="004841F5" w:rsidRDefault="00B850D4" w:rsidP="002A5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sz w:val="24"/>
                <w:szCs w:val="24"/>
              </w:rPr>
              <w:t>MATERIJALNA PRAVA – 20 190,77</w:t>
            </w:r>
            <w:r w:rsidR="006D0AA6">
              <w:rPr>
                <w:rFonts w:ascii="Times New Roman" w:hAnsi="Times New Roman" w:cs="Times New Roman"/>
                <w:sz w:val="24"/>
                <w:szCs w:val="24"/>
              </w:rPr>
              <w:t xml:space="preserve"> eura</w:t>
            </w:r>
          </w:p>
        </w:tc>
      </w:tr>
      <w:tr w:rsidR="00B850D4" w:rsidRPr="004841F5" w14:paraId="479A7C58" w14:textId="77777777" w:rsidTr="00B850D4">
        <w:tc>
          <w:tcPr>
            <w:tcW w:w="9072" w:type="dxa"/>
          </w:tcPr>
          <w:p w14:paraId="78B4B541" w14:textId="0797D65B" w:rsidR="00B850D4" w:rsidRPr="004841F5" w:rsidRDefault="00B850D4" w:rsidP="002A5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sz w:val="24"/>
                <w:szCs w:val="24"/>
              </w:rPr>
              <w:t>ŠKOLSKI MEDNI DAN – 44</w:t>
            </w:r>
            <w:r w:rsidR="006D0AA6">
              <w:rPr>
                <w:rFonts w:ascii="Times New Roman" w:hAnsi="Times New Roman" w:cs="Times New Roman"/>
                <w:sz w:val="24"/>
                <w:szCs w:val="24"/>
              </w:rPr>
              <w:t xml:space="preserve"> eura</w:t>
            </w:r>
          </w:p>
        </w:tc>
      </w:tr>
      <w:tr w:rsidR="00B850D4" w:rsidRPr="004841F5" w14:paraId="44F8CB8E" w14:textId="77777777" w:rsidTr="00B850D4">
        <w:tc>
          <w:tcPr>
            <w:tcW w:w="9072" w:type="dxa"/>
          </w:tcPr>
          <w:p w14:paraId="313E7AC6" w14:textId="0379F577" w:rsidR="00B850D4" w:rsidRPr="004841F5" w:rsidRDefault="00B850D4" w:rsidP="002A5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sz w:val="24"/>
                <w:szCs w:val="24"/>
              </w:rPr>
              <w:t>LEKTIRA MINISTARSTVO – 237</w:t>
            </w:r>
            <w:r w:rsidR="006D0AA6">
              <w:rPr>
                <w:rFonts w:ascii="Times New Roman" w:hAnsi="Times New Roman" w:cs="Times New Roman"/>
                <w:sz w:val="24"/>
                <w:szCs w:val="24"/>
              </w:rPr>
              <w:t xml:space="preserve"> eura</w:t>
            </w:r>
          </w:p>
        </w:tc>
      </w:tr>
      <w:tr w:rsidR="00B850D4" w:rsidRPr="004841F5" w14:paraId="29039863" w14:textId="77777777" w:rsidTr="00B850D4">
        <w:tc>
          <w:tcPr>
            <w:tcW w:w="9072" w:type="dxa"/>
          </w:tcPr>
          <w:p w14:paraId="11634966" w14:textId="73B4B6B9" w:rsidR="00B850D4" w:rsidRPr="004841F5" w:rsidRDefault="00B850D4" w:rsidP="002A5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sz w:val="24"/>
                <w:szCs w:val="24"/>
              </w:rPr>
              <w:t>PROJEKT ŠKOLSKA SHEMA – 163,33</w:t>
            </w:r>
            <w:r w:rsidR="006D0AA6">
              <w:rPr>
                <w:rFonts w:ascii="Times New Roman" w:hAnsi="Times New Roman" w:cs="Times New Roman"/>
                <w:sz w:val="24"/>
                <w:szCs w:val="24"/>
              </w:rPr>
              <w:t xml:space="preserve"> eura</w:t>
            </w:r>
          </w:p>
        </w:tc>
      </w:tr>
    </w:tbl>
    <w:p w14:paraId="7547680A" w14:textId="77777777" w:rsidR="0001480A" w:rsidRPr="004841F5" w:rsidRDefault="0001480A" w:rsidP="00FE31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A158C" w14:textId="77777777" w:rsidR="000A6631" w:rsidRPr="004841F5" w:rsidRDefault="000A6631" w:rsidP="00FE31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34"/>
      </w:tblGrid>
      <w:tr w:rsidR="000A6631" w:rsidRPr="004841F5" w14:paraId="02714F1D" w14:textId="77777777" w:rsidTr="000A66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shd w:val="clear" w:color="auto" w:fill="FFD966" w:themeFill="accent4" w:themeFillTint="99"/>
          </w:tcPr>
          <w:p w14:paraId="12FCAC79" w14:textId="77777777" w:rsidR="000A6631" w:rsidRPr="004841F5" w:rsidRDefault="000A6631" w:rsidP="00BF5A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638 – POMOĆI TEMELJEM PRIJENOSA EU SREDSTAVA – 1 495,13 eura</w:t>
            </w:r>
          </w:p>
        </w:tc>
      </w:tr>
      <w:tr w:rsidR="000A6631" w:rsidRPr="004841F5" w14:paraId="39F3D72D" w14:textId="77777777" w:rsidTr="000A6631">
        <w:tc>
          <w:tcPr>
            <w:tcW w:w="9072" w:type="dxa"/>
          </w:tcPr>
          <w:p w14:paraId="5641EB7C" w14:textId="77777777" w:rsidR="000A6631" w:rsidRPr="004841F5" w:rsidRDefault="000A6631" w:rsidP="00BF5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sz w:val="24"/>
                <w:szCs w:val="24"/>
              </w:rPr>
              <w:t>DOZNAKA SREDSTAVA IZ DRŽAVNOG PRORAČUNA ZA PROJEKT ŠKOLSKE SHEME – 1 495,13 eura</w:t>
            </w:r>
          </w:p>
        </w:tc>
      </w:tr>
    </w:tbl>
    <w:p w14:paraId="76F59D3C" w14:textId="77777777" w:rsidR="003C6C98" w:rsidRPr="004841F5" w:rsidRDefault="003C6C98" w:rsidP="00FE3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34"/>
      </w:tblGrid>
      <w:tr w:rsidR="000A6631" w:rsidRPr="004841F5" w14:paraId="1DC4CFD7" w14:textId="77777777" w:rsidTr="000A66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shd w:val="clear" w:color="auto" w:fill="FFD966" w:themeFill="accent4" w:themeFillTint="99"/>
          </w:tcPr>
          <w:p w14:paraId="6D2ACB44" w14:textId="77777777" w:rsidR="000A6631" w:rsidRPr="004841F5" w:rsidRDefault="000A6631" w:rsidP="005F7A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639 – PRIJENOS IZMEĐU PRORAČUNSKIH KORISNIKA ISTOG PRORAČUNA - 22 131,02 eura</w:t>
            </w:r>
          </w:p>
        </w:tc>
      </w:tr>
      <w:tr w:rsidR="000A6631" w:rsidRPr="004841F5" w14:paraId="4A06C160" w14:textId="77777777" w:rsidTr="000A6631">
        <w:tc>
          <w:tcPr>
            <w:tcW w:w="9072" w:type="dxa"/>
          </w:tcPr>
          <w:p w14:paraId="4D5B7E3D" w14:textId="77777777" w:rsidR="000A6631" w:rsidRPr="004841F5" w:rsidRDefault="000A6631" w:rsidP="005F7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sz w:val="24"/>
                <w:szCs w:val="24"/>
              </w:rPr>
              <w:t>UŽINA ZA SVE V – 1 847,04 eura</w:t>
            </w:r>
          </w:p>
        </w:tc>
      </w:tr>
      <w:tr w:rsidR="000A6631" w:rsidRPr="004841F5" w14:paraId="60B8EF2B" w14:textId="77777777" w:rsidTr="000A6631">
        <w:tc>
          <w:tcPr>
            <w:tcW w:w="9072" w:type="dxa"/>
          </w:tcPr>
          <w:p w14:paraId="2A001882" w14:textId="77777777" w:rsidR="000A6631" w:rsidRPr="004841F5" w:rsidRDefault="000A6631" w:rsidP="005F7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sz w:val="24"/>
                <w:szCs w:val="24"/>
              </w:rPr>
              <w:t>PROJEKT ASISTENTI U NASTAVI – 20 283,96 eura</w:t>
            </w:r>
          </w:p>
        </w:tc>
      </w:tr>
    </w:tbl>
    <w:p w14:paraId="1B782F6A" w14:textId="77777777" w:rsidR="003C6C98" w:rsidRPr="004841F5" w:rsidRDefault="003C6C98" w:rsidP="00FE3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34"/>
      </w:tblGrid>
      <w:tr w:rsidR="00B850D4" w:rsidRPr="004841F5" w14:paraId="11996F4B" w14:textId="77777777" w:rsidTr="00B85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shd w:val="clear" w:color="auto" w:fill="FFD966" w:themeFill="accent4" w:themeFillTint="99"/>
          </w:tcPr>
          <w:p w14:paraId="47408775" w14:textId="77777777" w:rsidR="00B850D4" w:rsidRPr="004841F5" w:rsidRDefault="00B850D4" w:rsidP="008F475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 – PRIHODI OD IMOVINE – 276, 65 eura</w:t>
            </w:r>
          </w:p>
        </w:tc>
      </w:tr>
      <w:tr w:rsidR="00B850D4" w:rsidRPr="004841F5" w14:paraId="7CEADB48" w14:textId="77777777" w:rsidTr="00B850D4">
        <w:tc>
          <w:tcPr>
            <w:tcW w:w="9072" w:type="dxa"/>
          </w:tcPr>
          <w:p w14:paraId="20E14398" w14:textId="77777777" w:rsidR="00B850D4" w:rsidRPr="004841F5" w:rsidRDefault="00B850D4" w:rsidP="008F4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sz w:val="24"/>
                <w:szCs w:val="24"/>
              </w:rPr>
              <w:t>VLASTITI PRIHODI OD FINANCIJSKE IMOVINE – 276,65 eura</w:t>
            </w:r>
          </w:p>
        </w:tc>
      </w:tr>
    </w:tbl>
    <w:p w14:paraId="4530E7AF" w14:textId="77777777" w:rsidR="003C6C98" w:rsidRPr="004841F5" w:rsidRDefault="003C6C98" w:rsidP="00FE31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34"/>
      </w:tblGrid>
      <w:tr w:rsidR="00D87295" w:rsidRPr="004841F5" w14:paraId="289FD37C" w14:textId="77777777" w:rsidTr="00D87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shd w:val="clear" w:color="auto" w:fill="FFD966" w:themeFill="accent4" w:themeFillTint="99"/>
          </w:tcPr>
          <w:p w14:paraId="727FB717" w14:textId="77777777" w:rsidR="00D87295" w:rsidRPr="004841F5" w:rsidRDefault="00D87295" w:rsidP="00116BB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65 – PRIHODI OD UPRAVNIH I ADMINISTRATIVNIH PRISTOJBI </w:t>
            </w:r>
          </w:p>
        </w:tc>
      </w:tr>
      <w:tr w:rsidR="00D87295" w:rsidRPr="004841F5" w14:paraId="271D6402" w14:textId="77777777" w:rsidTr="00D87295">
        <w:tc>
          <w:tcPr>
            <w:tcW w:w="9072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8818"/>
            </w:tblGrid>
            <w:tr w:rsidR="00D87295" w:rsidRPr="004841F5" w14:paraId="05815551" w14:textId="77777777" w:rsidTr="00B850D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8856" w:type="dxa"/>
                  <w:shd w:val="clear" w:color="auto" w:fill="FFFFFF" w:themeFill="background1"/>
                </w:tcPr>
                <w:p w14:paraId="064AFABA" w14:textId="77777777" w:rsidR="00D87295" w:rsidRPr="004841F5" w:rsidRDefault="00D87295" w:rsidP="00116BB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841F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652 – PRIHODI PO POSEBNIM PROPISIMA - 12 298,86 eura</w:t>
                  </w:r>
                </w:p>
              </w:tc>
            </w:tr>
            <w:tr w:rsidR="00D87295" w:rsidRPr="004841F5" w14:paraId="5A37E241" w14:textId="77777777" w:rsidTr="00B850D4">
              <w:tc>
                <w:tcPr>
                  <w:tcW w:w="8856" w:type="dxa"/>
                </w:tcPr>
                <w:p w14:paraId="4DB2AA30" w14:textId="77777777" w:rsidR="00D87295" w:rsidRPr="004841F5" w:rsidRDefault="00D87295" w:rsidP="00116B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SUFINANCIRANJE KUHINJE UČENICI – 5 025,93 eura</w:t>
                  </w:r>
                </w:p>
              </w:tc>
            </w:tr>
            <w:tr w:rsidR="00D87295" w:rsidRPr="004841F5" w14:paraId="062EF602" w14:textId="77777777" w:rsidTr="00B850D4">
              <w:tc>
                <w:tcPr>
                  <w:tcW w:w="8856" w:type="dxa"/>
                </w:tcPr>
                <w:p w14:paraId="2CEFCA41" w14:textId="77777777" w:rsidR="00D87295" w:rsidRPr="004841F5" w:rsidRDefault="00D87295" w:rsidP="00116B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IZLETI UČENIKA – 5 765,65 eura</w:t>
                  </w:r>
                </w:p>
              </w:tc>
            </w:tr>
            <w:tr w:rsidR="00D87295" w:rsidRPr="004841F5" w14:paraId="2AA4EF94" w14:textId="77777777" w:rsidTr="00B850D4">
              <w:tc>
                <w:tcPr>
                  <w:tcW w:w="8856" w:type="dxa"/>
                </w:tcPr>
                <w:p w14:paraId="1AE0518B" w14:textId="77777777" w:rsidR="00D87295" w:rsidRPr="004841F5" w:rsidRDefault="00D87295" w:rsidP="00116B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377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ČLANARINE </w:t>
                  </w:r>
                  <w:r w:rsidRPr="00484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501,36 eura </w:t>
                  </w:r>
                </w:p>
              </w:tc>
            </w:tr>
            <w:tr w:rsidR="00D87295" w:rsidRPr="004841F5" w14:paraId="65F3EA6A" w14:textId="77777777" w:rsidTr="00B850D4">
              <w:tc>
                <w:tcPr>
                  <w:tcW w:w="8856" w:type="dxa"/>
                </w:tcPr>
                <w:p w14:paraId="328CFDDE" w14:textId="77777777" w:rsidR="00D87295" w:rsidRPr="004841F5" w:rsidRDefault="00D87295" w:rsidP="00116B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DONACIJA – 167,20 eura</w:t>
                  </w:r>
                </w:p>
              </w:tc>
            </w:tr>
            <w:tr w:rsidR="00D87295" w:rsidRPr="004841F5" w14:paraId="65EB4B94" w14:textId="77777777" w:rsidTr="00B850D4">
              <w:tc>
                <w:tcPr>
                  <w:tcW w:w="8856" w:type="dxa"/>
                </w:tcPr>
                <w:p w14:paraId="02287A5F" w14:textId="77777777" w:rsidR="00D87295" w:rsidRPr="004841F5" w:rsidRDefault="00D87295" w:rsidP="00116B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OSIGURANJE UČENIKA – 802 eura</w:t>
                  </w:r>
                </w:p>
              </w:tc>
            </w:tr>
            <w:tr w:rsidR="00D87295" w:rsidRPr="004841F5" w14:paraId="01EEA4EB" w14:textId="77777777" w:rsidTr="00B850D4">
              <w:tc>
                <w:tcPr>
                  <w:tcW w:w="8856" w:type="dxa"/>
                </w:tcPr>
                <w:p w14:paraId="0874BFCC" w14:textId="77777777" w:rsidR="00D87295" w:rsidRPr="004841F5" w:rsidRDefault="00D87295" w:rsidP="00116B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NAPLATA ŠTETE OD UČENIKA – 36,72 eura</w:t>
                  </w:r>
                </w:p>
              </w:tc>
            </w:tr>
          </w:tbl>
          <w:p w14:paraId="3B397A80" w14:textId="77777777" w:rsidR="00D87295" w:rsidRPr="004841F5" w:rsidRDefault="00D87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09A76E" w14:textId="77777777" w:rsidR="008D3773" w:rsidRPr="004841F5" w:rsidRDefault="008D3773" w:rsidP="00FE31A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34"/>
      </w:tblGrid>
      <w:tr w:rsidR="00D87295" w:rsidRPr="004841F5" w14:paraId="007F8BE9" w14:textId="77777777" w:rsidTr="00D87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shd w:val="clear" w:color="auto" w:fill="FFD966" w:themeFill="accent4" w:themeFillTint="99"/>
          </w:tcPr>
          <w:p w14:paraId="1DF093F5" w14:textId="21CDF898" w:rsidR="00B152BD" w:rsidRDefault="00D87295" w:rsidP="00833E4A">
            <w:pPr>
              <w:jc w:val="both"/>
              <w:rPr>
                <w:rFonts w:ascii="Times New Roman" w:hAnsi="Times New Roman" w:cs="Times New Roman"/>
                <w:b/>
                <w:bCs/>
                <w:caps w:val="0"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66 – PRIHODI OD PRODAJE PROIZVODA I ROBE TE PRUŽANIH USLUGA </w:t>
            </w:r>
            <w:r w:rsidR="00B15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484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8BB9CE9" w14:textId="59CCB961" w:rsidR="00D87295" w:rsidRPr="004841F5" w:rsidRDefault="00D87295" w:rsidP="00833E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4 089,52 eura</w:t>
            </w:r>
          </w:p>
        </w:tc>
      </w:tr>
      <w:tr w:rsidR="00D87295" w:rsidRPr="004841F5" w14:paraId="30250A30" w14:textId="77777777" w:rsidTr="00D87295">
        <w:tc>
          <w:tcPr>
            <w:tcW w:w="9072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8818"/>
            </w:tblGrid>
            <w:tr w:rsidR="00D87295" w:rsidRPr="004841F5" w14:paraId="37CCBD33" w14:textId="77777777" w:rsidTr="00D872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8856" w:type="dxa"/>
                </w:tcPr>
                <w:p w14:paraId="25DA03B3" w14:textId="5EE23DBB" w:rsidR="00D87295" w:rsidRPr="004841F5" w:rsidRDefault="00D87295" w:rsidP="00833E4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PRIHODI OD NAJMA STANA – 2 976 </w:t>
                  </w:r>
                  <w:r w:rsidR="00B152BD" w:rsidRPr="004841F5">
                    <w:rPr>
                      <w:rFonts w:ascii="Times New Roman" w:hAnsi="Times New Roman" w:cs="Times New Roman"/>
                      <w:caps w:val="0"/>
                      <w:sz w:val="24"/>
                      <w:szCs w:val="24"/>
                    </w:rPr>
                    <w:t>eura</w:t>
                  </w:r>
                </w:p>
              </w:tc>
            </w:tr>
            <w:tr w:rsidR="00D87295" w:rsidRPr="004841F5" w14:paraId="7E23A92C" w14:textId="77777777" w:rsidTr="00D87295">
              <w:tc>
                <w:tcPr>
                  <w:tcW w:w="8856" w:type="dxa"/>
                </w:tcPr>
                <w:p w14:paraId="18A49CE5" w14:textId="77777777" w:rsidR="00D87295" w:rsidRPr="004841F5" w:rsidRDefault="00D87295" w:rsidP="00833E4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PROIZVODNJA EL. ENERGIJE – 208,61 eura</w:t>
                  </w:r>
                </w:p>
              </w:tc>
            </w:tr>
            <w:tr w:rsidR="00D87295" w:rsidRPr="004841F5" w14:paraId="4C5C2538" w14:textId="77777777" w:rsidTr="00D87295">
              <w:tc>
                <w:tcPr>
                  <w:tcW w:w="8856" w:type="dxa"/>
                </w:tcPr>
                <w:p w14:paraId="391DEEBA" w14:textId="77777777" w:rsidR="00D87295" w:rsidRPr="004841F5" w:rsidRDefault="00D87295" w:rsidP="00833E4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UPLATA UČENIČKA ZADRUGA -105 eura</w:t>
                  </w:r>
                </w:p>
              </w:tc>
            </w:tr>
          </w:tbl>
          <w:p w14:paraId="060CB269" w14:textId="77777777" w:rsidR="00D87295" w:rsidRPr="004841F5" w:rsidRDefault="00D87295" w:rsidP="0083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295" w:rsidRPr="004841F5" w14:paraId="02D7D83E" w14:textId="77777777" w:rsidTr="00D87295">
        <w:tc>
          <w:tcPr>
            <w:tcW w:w="9072" w:type="dxa"/>
          </w:tcPr>
          <w:p w14:paraId="18049514" w14:textId="77777777" w:rsidR="00D87295" w:rsidRPr="004841F5" w:rsidRDefault="00D87295" w:rsidP="00833E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sz w:val="24"/>
                <w:szCs w:val="24"/>
              </w:rPr>
              <w:t>6631 – TEKUĆE DONACIJE -799,91 eura</w:t>
            </w:r>
            <w:r w:rsidRPr="00484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841F5">
              <w:rPr>
                <w:rFonts w:ascii="Times New Roman" w:hAnsi="Times New Roman" w:cs="Times New Roman"/>
                <w:sz w:val="24"/>
                <w:szCs w:val="24"/>
              </w:rPr>
              <w:t>– donacija je od fizičkih osoba</w:t>
            </w:r>
          </w:p>
        </w:tc>
      </w:tr>
    </w:tbl>
    <w:p w14:paraId="32C843F2" w14:textId="77777777" w:rsidR="003E2358" w:rsidRPr="004841F5" w:rsidRDefault="003E2358" w:rsidP="00FE31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0F3C5" w14:textId="77777777" w:rsidR="00D87295" w:rsidRPr="004841F5" w:rsidRDefault="00D87295" w:rsidP="00FE31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34"/>
      </w:tblGrid>
      <w:tr w:rsidR="00D87295" w:rsidRPr="004841F5" w14:paraId="10F24507" w14:textId="77777777" w:rsidTr="00D87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shd w:val="clear" w:color="auto" w:fill="FFD966" w:themeFill="accent4" w:themeFillTint="99"/>
          </w:tcPr>
          <w:p w14:paraId="3A169F83" w14:textId="77777777" w:rsidR="00D87295" w:rsidRPr="004841F5" w:rsidRDefault="00D87295" w:rsidP="007633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 – PRIHODI IZ NADLEŽNOG PRORAČUNA I OD HZZO NA TEMELJU UGOVORNIH OBVEZA – 91 229,07 eura</w:t>
            </w:r>
          </w:p>
        </w:tc>
      </w:tr>
      <w:tr w:rsidR="00D87295" w:rsidRPr="004841F5" w14:paraId="094190FA" w14:textId="77777777" w:rsidTr="00D87295">
        <w:tc>
          <w:tcPr>
            <w:tcW w:w="9072" w:type="dxa"/>
          </w:tcPr>
          <w:p w14:paraId="2A93F598" w14:textId="77777777" w:rsidR="00D87295" w:rsidRPr="004841F5" w:rsidRDefault="00D87295" w:rsidP="00763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sz w:val="24"/>
                <w:szCs w:val="24"/>
              </w:rPr>
              <w:t>6711- PRIHODI IZ NADLEŽNOG PRORAČUNA ZA FINANCIRANJE RASHODA POSLOVANJA – 75 601,98 eura</w:t>
            </w:r>
          </w:p>
        </w:tc>
      </w:tr>
      <w:tr w:rsidR="00D87295" w:rsidRPr="004841F5" w14:paraId="613DD5D0" w14:textId="77777777" w:rsidTr="00D87295">
        <w:tc>
          <w:tcPr>
            <w:tcW w:w="9072" w:type="dxa"/>
          </w:tcPr>
          <w:p w14:paraId="2176AFAA" w14:textId="77777777" w:rsidR="00D87295" w:rsidRPr="004841F5" w:rsidRDefault="00D87295" w:rsidP="00763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sz w:val="24"/>
                <w:szCs w:val="24"/>
              </w:rPr>
              <w:t>6712 – PRIHODI ZA FINANCIRANJE RASHODA ZA NABAVU NEF. IMOVINE – 15 627,09 eura</w:t>
            </w:r>
          </w:p>
        </w:tc>
      </w:tr>
    </w:tbl>
    <w:p w14:paraId="558C77DA" w14:textId="77777777" w:rsidR="008D3773" w:rsidRPr="004841F5" w:rsidRDefault="008D3773" w:rsidP="00FE3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52C2BC" w14:textId="77777777" w:rsidR="008D3773" w:rsidRPr="004841F5" w:rsidRDefault="008D3773" w:rsidP="00FE31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34"/>
      </w:tblGrid>
      <w:tr w:rsidR="00372015" w:rsidRPr="004841F5" w14:paraId="70C63FE8" w14:textId="77777777" w:rsidTr="00372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shd w:val="clear" w:color="auto" w:fill="FFD966" w:themeFill="accent4" w:themeFillTint="99"/>
          </w:tcPr>
          <w:p w14:paraId="128E1B9E" w14:textId="77777777" w:rsidR="00372015" w:rsidRPr="004841F5" w:rsidRDefault="00372015" w:rsidP="00FA53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– RASHODI POSLOVANJA – 902 770,33 eura</w:t>
            </w:r>
          </w:p>
        </w:tc>
      </w:tr>
      <w:tr w:rsidR="00372015" w:rsidRPr="004841F5" w14:paraId="4B528A9C" w14:textId="77777777" w:rsidTr="00372015">
        <w:tc>
          <w:tcPr>
            <w:tcW w:w="9072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8818"/>
            </w:tblGrid>
            <w:tr w:rsidR="00372015" w:rsidRPr="004841F5" w14:paraId="65D89913" w14:textId="77777777" w:rsidTr="00D872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8856" w:type="dxa"/>
                </w:tcPr>
                <w:p w14:paraId="16DE365F" w14:textId="14D0D9B5" w:rsidR="00372015" w:rsidRPr="004841F5" w:rsidRDefault="00372015" w:rsidP="00FA536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31 - RASHODI ZA ZAPOSLENE - 735 530,10 </w:t>
                  </w:r>
                  <w:r w:rsidR="00B152BD" w:rsidRPr="004841F5">
                    <w:rPr>
                      <w:rFonts w:ascii="Times New Roman" w:hAnsi="Times New Roman" w:cs="Times New Roman"/>
                      <w:caps w:val="0"/>
                      <w:sz w:val="24"/>
                      <w:szCs w:val="24"/>
                    </w:rPr>
                    <w:t>eura</w:t>
                  </w:r>
                  <w:r w:rsidRPr="00484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="00B850D4" w:rsidRPr="004841F5">
                    <w:rPr>
                      <w:rFonts w:ascii="Times New Roman" w:hAnsi="Times New Roman" w:cs="Times New Roman"/>
                      <w:caps w:val="0"/>
                      <w:sz w:val="24"/>
                      <w:szCs w:val="24"/>
                    </w:rPr>
                    <w:t>povećanje zbog uvedenog privremenog dodatka na plaću te uvođenje programa produženog boravka u školi koji je financiran sredstvima proračuna koji nije nadležan</w:t>
                  </w:r>
                </w:p>
              </w:tc>
            </w:tr>
            <w:tr w:rsidR="00372015" w:rsidRPr="004841F5" w14:paraId="325D87DC" w14:textId="77777777" w:rsidTr="00D87295">
              <w:tc>
                <w:tcPr>
                  <w:tcW w:w="8856" w:type="dxa"/>
                </w:tcPr>
                <w:p w14:paraId="4DFB078D" w14:textId="77777777" w:rsidR="00372015" w:rsidRPr="004841F5" w:rsidRDefault="00372015" w:rsidP="00FA536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32 - MATERIJALNI RASHODI – 165 645,35 eura povećanje u odnosu na  2022. godinu zbog porasta cijena namjernica te cijena goriva koji su utjecali na putne troškove za zaposlene (putni nalozi i </w:t>
                  </w:r>
                  <w:proofErr w:type="spellStart"/>
                  <w:r w:rsidRPr="00484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loko</w:t>
                  </w:r>
                  <w:proofErr w:type="spellEnd"/>
                  <w:r w:rsidRPr="00484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vožnja)</w:t>
                  </w:r>
                </w:p>
              </w:tc>
            </w:tr>
            <w:tr w:rsidR="00372015" w:rsidRPr="004841F5" w14:paraId="48B3629E" w14:textId="77777777" w:rsidTr="00D87295">
              <w:tc>
                <w:tcPr>
                  <w:tcW w:w="8856" w:type="dxa"/>
                </w:tcPr>
                <w:p w14:paraId="7114DEC7" w14:textId="77777777" w:rsidR="00372015" w:rsidRPr="004841F5" w:rsidRDefault="00372015" w:rsidP="00FA536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34 – FINANCIJSKI RASHODI – 800,14 eura – usluge banaka </w:t>
                  </w:r>
                </w:p>
              </w:tc>
            </w:tr>
            <w:tr w:rsidR="00372015" w:rsidRPr="004841F5" w14:paraId="5B8B6FD6" w14:textId="77777777" w:rsidTr="00D87295">
              <w:tc>
                <w:tcPr>
                  <w:tcW w:w="8856" w:type="dxa"/>
                </w:tcPr>
                <w:p w14:paraId="67B9BCC3" w14:textId="77777777" w:rsidR="00372015" w:rsidRPr="004841F5" w:rsidRDefault="00372015" w:rsidP="00FA536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37- NAKNADE GRAĐANIMA I KUĆANSTVIMA NA TEMELJU OSIGURANJA I DRUGE NAKNADE – odnosi se na radne udžbenike – 526,50 eura</w:t>
                  </w:r>
                </w:p>
              </w:tc>
            </w:tr>
            <w:tr w:rsidR="00372015" w:rsidRPr="004841F5" w14:paraId="5AD54440" w14:textId="77777777" w:rsidTr="00D87295">
              <w:tc>
                <w:tcPr>
                  <w:tcW w:w="8856" w:type="dxa"/>
                </w:tcPr>
                <w:p w14:paraId="268BC36F" w14:textId="77777777" w:rsidR="00372015" w:rsidRPr="004841F5" w:rsidRDefault="00372015" w:rsidP="00FA536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38 OSTALI RASHODI – 268,24 eura – donacije u naravi – menstrualne higijenske potrepštine</w:t>
                  </w:r>
                </w:p>
              </w:tc>
            </w:tr>
          </w:tbl>
          <w:p w14:paraId="42A83DAA" w14:textId="77777777" w:rsidR="00372015" w:rsidRPr="004841F5" w:rsidRDefault="0037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9AFF82" w14:textId="77777777" w:rsidR="008B42A4" w:rsidRPr="004841F5" w:rsidRDefault="008B42A4" w:rsidP="00FE31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34"/>
      </w:tblGrid>
      <w:tr w:rsidR="00372015" w:rsidRPr="004841F5" w14:paraId="59D1CC92" w14:textId="77777777" w:rsidTr="00372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shd w:val="clear" w:color="auto" w:fill="FFD966" w:themeFill="accent4" w:themeFillTint="99"/>
          </w:tcPr>
          <w:p w14:paraId="71BC2484" w14:textId="77777777" w:rsidR="00372015" w:rsidRPr="004841F5" w:rsidRDefault="00372015" w:rsidP="00673C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 RASHODI ZA NABAVU NEFINANCIJSKE IMOVINE –  26 531,22 eura</w:t>
            </w:r>
          </w:p>
        </w:tc>
      </w:tr>
      <w:tr w:rsidR="00372015" w:rsidRPr="004841F5" w14:paraId="1A9788E0" w14:textId="77777777" w:rsidTr="00372015">
        <w:tc>
          <w:tcPr>
            <w:tcW w:w="9072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8818"/>
            </w:tblGrid>
            <w:tr w:rsidR="00372015" w:rsidRPr="004841F5" w14:paraId="5DDA76CE" w14:textId="77777777" w:rsidTr="00673C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072" w:type="dxa"/>
                </w:tcPr>
                <w:p w14:paraId="20830819" w14:textId="77777777" w:rsidR="00372015" w:rsidRPr="004841F5" w:rsidRDefault="00372015" w:rsidP="00673CF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STEM EDUKACIJSKI KOMPLET – 1085,88 eura</w:t>
                  </w:r>
                </w:p>
              </w:tc>
            </w:tr>
            <w:tr w:rsidR="00372015" w:rsidRPr="004841F5" w14:paraId="7C842AEE" w14:textId="77777777" w:rsidTr="00673CF0">
              <w:tc>
                <w:tcPr>
                  <w:tcW w:w="9072" w:type="dxa"/>
                </w:tcPr>
                <w:p w14:paraId="210CA0DE" w14:textId="77777777" w:rsidR="00372015" w:rsidRPr="004841F5" w:rsidRDefault="00372015" w:rsidP="00673CF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PRIJENOSNA RAČUNALA OD OSNIVAČA – 12 993,75 eura</w:t>
                  </w:r>
                </w:p>
              </w:tc>
            </w:tr>
            <w:tr w:rsidR="00372015" w:rsidRPr="004841F5" w14:paraId="5E44F0A1" w14:textId="77777777" w:rsidTr="00673CF0">
              <w:tc>
                <w:tcPr>
                  <w:tcW w:w="9072" w:type="dxa"/>
                </w:tcPr>
                <w:p w14:paraId="756FD4D5" w14:textId="77777777" w:rsidR="00372015" w:rsidRPr="004841F5" w:rsidRDefault="00372015" w:rsidP="00673CF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KNJIGE ZA KNJIŽNICU – 476,32  eura</w:t>
                  </w:r>
                </w:p>
              </w:tc>
            </w:tr>
            <w:tr w:rsidR="00372015" w:rsidRPr="004841F5" w14:paraId="6FDD5433" w14:textId="77777777" w:rsidTr="00673CF0">
              <w:tc>
                <w:tcPr>
                  <w:tcW w:w="9072" w:type="dxa"/>
                </w:tcPr>
                <w:p w14:paraId="15D03711" w14:textId="77777777" w:rsidR="00372015" w:rsidRPr="004841F5" w:rsidRDefault="00372015" w:rsidP="00673CF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OSNOVNA SREDSTVA – 2 026,43 eura</w:t>
                  </w:r>
                </w:p>
              </w:tc>
            </w:tr>
            <w:tr w:rsidR="00372015" w:rsidRPr="004841F5" w14:paraId="6838F1C9" w14:textId="77777777" w:rsidTr="00673CF0">
              <w:tc>
                <w:tcPr>
                  <w:tcW w:w="9072" w:type="dxa"/>
                </w:tcPr>
                <w:p w14:paraId="18F41E3E" w14:textId="77777777" w:rsidR="00372015" w:rsidRPr="004841F5" w:rsidRDefault="00372015" w:rsidP="00673CF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SPORTSKA OPREMA – 134,89 eura</w:t>
                  </w:r>
                </w:p>
              </w:tc>
            </w:tr>
            <w:tr w:rsidR="00372015" w:rsidRPr="004841F5" w14:paraId="096FACC2" w14:textId="77777777" w:rsidTr="00673CF0">
              <w:tc>
                <w:tcPr>
                  <w:tcW w:w="9072" w:type="dxa"/>
                </w:tcPr>
                <w:p w14:paraId="6BA08DE0" w14:textId="77777777" w:rsidR="00372015" w:rsidRPr="004841F5" w:rsidRDefault="00372015" w:rsidP="00673CF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UDŽBENICI OD MINISTARSTVA – 5 765,71 eura </w:t>
                  </w:r>
                </w:p>
              </w:tc>
            </w:tr>
            <w:tr w:rsidR="00372015" w:rsidRPr="004841F5" w14:paraId="5E201E76" w14:textId="77777777" w:rsidTr="00673CF0">
              <w:tc>
                <w:tcPr>
                  <w:tcW w:w="9072" w:type="dxa"/>
                </w:tcPr>
                <w:p w14:paraId="1C4354FD" w14:textId="77777777" w:rsidR="00372015" w:rsidRPr="004841F5" w:rsidRDefault="00372015" w:rsidP="00673CF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LEKTIRA – 259,04 eura</w:t>
                  </w:r>
                </w:p>
              </w:tc>
            </w:tr>
            <w:tr w:rsidR="00372015" w:rsidRPr="004841F5" w14:paraId="00D7B8DF" w14:textId="77777777" w:rsidTr="00673CF0">
              <w:tc>
                <w:tcPr>
                  <w:tcW w:w="9072" w:type="dxa"/>
                </w:tcPr>
                <w:p w14:paraId="113D89AF" w14:textId="77777777" w:rsidR="00372015" w:rsidRPr="004841F5" w:rsidRDefault="00372015" w:rsidP="00673CF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ŠKOLSKE PLOČE – 1 046,00 eura</w:t>
                  </w:r>
                </w:p>
              </w:tc>
            </w:tr>
            <w:tr w:rsidR="00372015" w:rsidRPr="004841F5" w14:paraId="095D9623" w14:textId="77777777" w:rsidTr="00673CF0">
              <w:tc>
                <w:tcPr>
                  <w:tcW w:w="9072" w:type="dxa"/>
                </w:tcPr>
                <w:p w14:paraId="6EDC02A0" w14:textId="77777777" w:rsidR="00372015" w:rsidRPr="004841F5" w:rsidRDefault="00372015" w:rsidP="00673CF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PROJEKT GRAĐANSKI ODGOJ – 516,97 eura</w:t>
                  </w:r>
                </w:p>
              </w:tc>
            </w:tr>
            <w:tr w:rsidR="00372015" w:rsidRPr="004841F5" w14:paraId="761720F8" w14:textId="77777777" w:rsidTr="00673CF0">
              <w:tc>
                <w:tcPr>
                  <w:tcW w:w="9072" w:type="dxa"/>
                </w:tcPr>
                <w:p w14:paraId="66556BD8" w14:textId="77777777" w:rsidR="00372015" w:rsidRPr="004841F5" w:rsidRDefault="00372015" w:rsidP="00673CF0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UREĐENJE BLAGAVAONICE IZ VL. IZVORA – 2 226,23 eura</w:t>
                  </w:r>
                </w:p>
              </w:tc>
            </w:tr>
          </w:tbl>
          <w:p w14:paraId="7058D2AF" w14:textId="77777777" w:rsidR="00372015" w:rsidRPr="004841F5" w:rsidRDefault="0037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9A757F" w14:textId="77777777" w:rsidR="003C6C98" w:rsidRPr="004841F5" w:rsidRDefault="003C6C98" w:rsidP="003830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81A1B" w14:textId="77777777" w:rsidR="00281E71" w:rsidRPr="004841F5" w:rsidRDefault="00281E71" w:rsidP="00A87A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1BAD1" w14:textId="2C3AEED1" w:rsidR="00281E71" w:rsidRPr="004841F5" w:rsidRDefault="00281E71" w:rsidP="00A87A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1F5">
        <w:rPr>
          <w:rFonts w:ascii="Times New Roman" w:hAnsi="Times New Roman" w:cs="Times New Roman"/>
          <w:b/>
          <w:bCs/>
          <w:sz w:val="24"/>
          <w:szCs w:val="24"/>
        </w:rPr>
        <w:t>BILJEŠKE UZ BILANCU ZA RAZDOBLJE 01.</w:t>
      </w:r>
      <w:r w:rsidR="00A87ACB" w:rsidRPr="004841F5">
        <w:rPr>
          <w:rFonts w:ascii="Times New Roman" w:hAnsi="Times New Roman" w:cs="Times New Roman"/>
          <w:b/>
          <w:bCs/>
          <w:sz w:val="24"/>
          <w:szCs w:val="24"/>
        </w:rPr>
        <w:t>01. – 31.12.2023. godine</w:t>
      </w:r>
    </w:p>
    <w:p w14:paraId="545F4739" w14:textId="77777777" w:rsidR="00A87ACB" w:rsidRPr="004841F5" w:rsidRDefault="00A87ACB" w:rsidP="00A87A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01BAF" w14:textId="77777777" w:rsidR="00A87ACB" w:rsidRPr="004841F5" w:rsidRDefault="00A87ACB" w:rsidP="00A87A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C0010" w14:textId="2EDB2DFB" w:rsidR="00A87ACB" w:rsidRPr="004841F5" w:rsidRDefault="003830B7" w:rsidP="00383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b/>
          <w:bCs/>
          <w:sz w:val="24"/>
          <w:szCs w:val="24"/>
        </w:rPr>
        <w:t xml:space="preserve">0 – NEFINANCIJSKA IMOVINA - </w:t>
      </w:r>
      <w:r w:rsidRPr="004841F5">
        <w:rPr>
          <w:rFonts w:ascii="Times New Roman" w:hAnsi="Times New Roman" w:cs="Times New Roman"/>
          <w:sz w:val="24"/>
          <w:szCs w:val="24"/>
        </w:rPr>
        <w:t xml:space="preserve">do povećanja vrijednosti imovine došlo je zbog kupnje osnovnih sredstava i sitnog inventara kao i prijenosa imovine od strane Ministarstva znanosti i obrazovanja gdje je naša škola bila sudionik projekta </w:t>
      </w:r>
      <w:r w:rsidRPr="004841F5">
        <w:rPr>
          <w:rFonts w:ascii="Times New Roman" w:hAnsi="Times New Roman" w:cs="Times New Roman"/>
          <w:i/>
          <w:iCs/>
          <w:sz w:val="24"/>
          <w:szCs w:val="24"/>
        </w:rPr>
        <w:t>Podrška provedbi cjelovite kurikularne reforme (CKR)</w:t>
      </w:r>
    </w:p>
    <w:p w14:paraId="2784860B" w14:textId="77777777" w:rsidR="003830B7" w:rsidRPr="004841F5" w:rsidRDefault="003830B7" w:rsidP="00383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4F5E8E" w14:textId="5476A77F" w:rsidR="003830B7" w:rsidRPr="004841F5" w:rsidRDefault="00726F49" w:rsidP="00383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2BD">
        <w:rPr>
          <w:rFonts w:ascii="Times New Roman" w:hAnsi="Times New Roman" w:cs="Times New Roman"/>
          <w:b/>
          <w:bCs/>
          <w:sz w:val="24"/>
          <w:szCs w:val="24"/>
        </w:rPr>
        <w:t>NOVAC NA RAČUNU</w:t>
      </w:r>
      <w:r w:rsidRPr="004841F5">
        <w:rPr>
          <w:rFonts w:ascii="Times New Roman" w:hAnsi="Times New Roman" w:cs="Times New Roman"/>
          <w:sz w:val="24"/>
          <w:szCs w:val="24"/>
        </w:rPr>
        <w:t xml:space="preserve"> – povećani iznos na žiro računu jer je stigla uplata </w:t>
      </w:r>
      <w:r w:rsidRPr="004841F5">
        <w:rPr>
          <w:rFonts w:ascii="Times New Roman" w:hAnsi="Times New Roman" w:cs="Times New Roman"/>
          <w:i/>
          <w:iCs/>
          <w:sz w:val="24"/>
          <w:szCs w:val="24"/>
        </w:rPr>
        <w:t>Ministarstva znanosti i obrazovanja</w:t>
      </w:r>
      <w:r w:rsidR="00CF3D2A" w:rsidRPr="004841F5">
        <w:rPr>
          <w:rFonts w:ascii="Times New Roman" w:hAnsi="Times New Roman" w:cs="Times New Roman"/>
          <w:sz w:val="24"/>
          <w:szCs w:val="24"/>
        </w:rPr>
        <w:t xml:space="preserve"> (MZO)</w:t>
      </w:r>
      <w:r w:rsidRPr="004841F5">
        <w:rPr>
          <w:rFonts w:ascii="Times New Roman" w:hAnsi="Times New Roman" w:cs="Times New Roman"/>
          <w:sz w:val="24"/>
          <w:szCs w:val="24"/>
        </w:rPr>
        <w:t xml:space="preserve"> za udžbenike 29.12.2023. godine u iznosu od 6 295,51 eura, a za isto nisu utrošeni u proračunskoj godini 2023. </w:t>
      </w:r>
      <w:r w:rsidR="00CF3D2A" w:rsidRPr="004841F5">
        <w:rPr>
          <w:rFonts w:ascii="Times New Roman" w:hAnsi="Times New Roman" w:cs="Times New Roman"/>
          <w:sz w:val="24"/>
          <w:szCs w:val="24"/>
        </w:rPr>
        <w:t>S</w:t>
      </w:r>
      <w:r w:rsidRPr="004841F5">
        <w:rPr>
          <w:rFonts w:ascii="Times New Roman" w:hAnsi="Times New Roman" w:cs="Times New Roman"/>
          <w:sz w:val="24"/>
          <w:szCs w:val="24"/>
        </w:rPr>
        <w:t>amim time rashodi su nastali u 2023.</w:t>
      </w:r>
      <w:r w:rsidR="00CF3D2A" w:rsidRPr="004841F5">
        <w:rPr>
          <w:rFonts w:ascii="Times New Roman" w:hAnsi="Times New Roman" w:cs="Times New Roman"/>
          <w:sz w:val="24"/>
          <w:szCs w:val="24"/>
        </w:rPr>
        <w:t xml:space="preserve"> godini</w:t>
      </w:r>
      <w:r w:rsidRPr="004841F5">
        <w:rPr>
          <w:rFonts w:ascii="Times New Roman" w:hAnsi="Times New Roman" w:cs="Times New Roman"/>
          <w:sz w:val="24"/>
          <w:szCs w:val="24"/>
        </w:rPr>
        <w:t>, ali nisu podmireni do 31.12.2023. godine. Iznos od 5 551,80 eura koji se nalazi na kontu 239580 moramo vratiti Županiji</w:t>
      </w:r>
      <w:r w:rsidR="00B152BD">
        <w:rPr>
          <w:rFonts w:ascii="Times New Roman" w:hAnsi="Times New Roman" w:cs="Times New Roman"/>
          <w:sz w:val="24"/>
          <w:szCs w:val="24"/>
        </w:rPr>
        <w:t>, koji je višak od energetske obnove škole.</w:t>
      </w:r>
    </w:p>
    <w:p w14:paraId="0836AB1C" w14:textId="77777777" w:rsidR="00D87295" w:rsidRPr="004841F5" w:rsidRDefault="00D87295" w:rsidP="00383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510958" w14:textId="77777777" w:rsidR="00726F49" w:rsidRPr="004841F5" w:rsidRDefault="00726F49" w:rsidP="003830B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34"/>
      </w:tblGrid>
      <w:tr w:rsidR="00372015" w:rsidRPr="004841F5" w14:paraId="6139BDEE" w14:textId="77777777" w:rsidTr="00372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shd w:val="clear" w:color="auto" w:fill="FFD966" w:themeFill="accent4" w:themeFillTint="99"/>
          </w:tcPr>
          <w:p w14:paraId="4B99AAC9" w14:textId="77777777" w:rsidR="00372015" w:rsidRPr="004841F5" w:rsidRDefault="00372015" w:rsidP="009F3C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– POTRAŽIVANJA ZA PRIHODE POSLOVANJA – 863,52 eura</w:t>
            </w:r>
          </w:p>
        </w:tc>
      </w:tr>
      <w:tr w:rsidR="00372015" w:rsidRPr="004841F5" w14:paraId="78017C0B" w14:textId="77777777" w:rsidTr="00372015">
        <w:tc>
          <w:tcPr>
            <w:tcW w:w="9072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8818"/>
            </w:tblGrid>
            <w:tr w:rsidR="00372015" w:rsidRPr="004841F5" w14:paraId="33EC9E2E" w14:textId="77777777" w:rsidTr="00D8729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8856" w:type="dxa"/>
                </w:tcPr>
                <w:p w14:paraId="30D69A5D" w14:textId="34FA407C" w:rsidR="00372015" w:rsidRPr="004841F5" w:rsidRDefault="00372015" w:rsidP="009F3C6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163 – POTRAŽIVANJA ZA ŠKOLSKU SHEMU – 191,64 </w:t>
                  </w:r>
                  <w:r w:rsidR="00B152BD" w:rsidRPr="004841F5">
                    <w:rPr>
                      <w:rFonts w:ascii="Times New Roman" w:hAnsi="Times New Roman" w:cs="Times New Roman"/>
                      <w:caps w:val="0"/>
                      <w:sz w:val="24"/>
                      <w:szCs w:val="24"/>
                    </w:rPr>
                    <w:t>eura</w:t>
                  </w:r>
                </w:p>
              </w:tc>
            </w:tr>
            <w:tr w:rsidR="00372015" w:rsidRPr="004841F5" w14:paraId="5B2C3C4E" w14:textId="77777777" w:rsidTr="00D87295">
              <w:tc>
                <w:tcPr>
                  <w:tcW w:w="8856" w:type="dxa"/>
                </w:tcPr>
                <w:p w14:paraId="611AC609" w14:textId="77777777" w:rsidR="00372015" w:rsidRPr="004841F5" w:rsidRDefault="00372015" w:rsidP="009F3C6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165 – POTRAŽIVANJA ZA ŠKOLSKU KUHINJU -  336,86 eura</w:t>
                  </w:r>
                </w:p>
              </w:tc>
            </w:tr>
            <w:tr w:rsidR="00372015" w:rsidRPr="004841F5" w14:paraId="083EFD82" w14:textId="77777777" w:rsidTr="00D87295">
              <w:tc>
                <w:tcPr>
                  <w:tcW w:w="8856" w:type="dxa"/>
                </w:tcPr>
                <w:p w14:paraId="5F317AC0" w14:textId="77777777" w:rsidR="00372015" w:rsidRPr="004841F5" w:rsidRDefault="00372015" w:rsidP="009F3C6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1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166 – POTRAŽIVANJE ZA NAJAM STANA – 335,02 eura</w:t>
                  </w:r>
                </w:p>
              </w:tc>
            </w:tr>
          </w:tbl>
          <w:p w14:paraId="73900AF6" w14:textId="77777777" w:rsidR="00372015" w:rsidRPr="004841F5" w:rsidRDefault="00372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0FD5CC" w14:textId="77777777" w:rsidR="00691634" w:rsidRPr="004841F5" w:rsidRDefault="00691634" w:rsidP="00383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55FBF8" w14:textId="23488FAB" w:rsidR="00B850D4" w:rsidRDefault="00B850D4" w:rsidP="00383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B302C5" w14:textId="77777777" w:rsidR="00B152BD" w:rsidRDefault="00B152BD" w:rsidP="00383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6B0A6C" w14:textId="77777777" w:rsidR="00B152BD" w:rsidRDefault="00B152BD" w:rsidP="00383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0324BB" w14:textId="77777777" w:rsidR="00B152BD" w:rsidRDefault="00B152BD" w:rsidP="00383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4DA064" w14:textId="77777777" w:rsidR="00B152BD" w:rsidRDefault="00B152BD" w:rsidP="00383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82673F" w14:textId="77777777" w:rsidR="00B152BD" w:rsidRDefault="00B152BD" w:rsidP="00383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84391D" w14:textId="77777777" w:rsidR="00B152BD" w:rsidRPr="004841F5" w:rsidRDefault="00B152BD" w:rsidP="00383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7369AA" w14:textId="77777777" w:rsidR="00726F49" w:rsidRPr="004841F5" w:rsidRDefault="00726F49" w:rsidP="003830B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17D8A" w14:textId="1B1A94AF" w:rsidR="00726F49" w:rsidRPr="000B3896" w:rsidRDefault="00726F49" w:rsidP="000B3896">
      <w:pPr>
        <w:shd w:val="clear" w:color="auto" w:fill="C5E0B3" w:themeFill="accent6" w:themeFillTint="66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3896">
        <w:rPr>
          <w:rFonts w:ascii="Times New Roman" w:hAnsi="Times New Roman" w:cs="Times New Roman"/>
          <w:b/>
          <w:bCs/>
          <w:sz w:val="24"/>
          <w:szCs w:val="24"/>
        </w:rPr>
        <w:t>KONTINUIRANI RASHODI BUDUĆIH RAZDOBLJA</w:t>
      </w:r>
    </w:p>
    <w:p w14:paraId="1F89A194" w14:textId="77777777" w:rsidR="000B3896" w:rsidRDefault="000B3896" w:rsidP="000B389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53603" w14:textId="62C44B4D" w:rsidR="00691634" w:rsidRPr="000B3896" w:rsidRDefault="00691634" w:rsidP="000B3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896">
        <w:rPr>
          <w:rFonts w:ascii="Times New Roman" w:hAnsi="Times New Roman" w:cs="Times New Roman"/>
          <w:sz w:val="24"/>
          <w:szCs w:val="24"/>
        </w:rPr>
        <w:t>Odnos</w:t>
      </w:r>
      <w:r w:rsidR="000B3896" w:rsidRPr="000B3896">
        <w:rPr>
          <w:rFonts w:ascii="Times New Roman" w:hAnsi="Times New Roman" w:cs="Times New Roman"/>
          <w:sz w:val="24"/>
          <w:szCs w:val="24"/>
        </w:rPr>
        <w:t>e</w:t>
      </w:r>
      <w:r w:rsidRPr="000B3896">
        <w:rPr>
          <w:rFonts w:ascii="Times New Roman" w:hAnsi="Times New Roman" w:cs="Times New Roman"/>
          <w:sz w:val="24"/>
          <w:szCs w:val="24"/>
        </w:rPr>
        <w:t xml:space="preserve"> se na plaću za prosinac 2023. godine, oporezivi prijevoz i materijalna prava</w:t>
      </w:r>
      <w:r w:rsidR="000B3896" w:rsidRPr="000B3896">
        <w:rPr>
          <w:rFonts w:ascii="Times New Roman" w:hAnsi="Times New Roman" w:cs="Times New Roman"/>
          <w:sz w:val="24"/>
          <w:szCs w:val="24"/>
        </w:rPr>
        <w:t xml:space="preserve"> u ukupnom iznosu od 62 781,77 eura</w:t>
      </w:r>
    </w:p>
    <w:p w14:paraId="1741FFE1" w14:textId="2C79059F" w:rsidR="00726F49" w:rsidRPr="004841F5" w:rsidRDefault="00726F49" w:rsidP="00383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43737A" w14:textId="77777777" w:rsidR="00726F49" w:rsidRPr="004841F5" w:rsidRDefault="00726F49" w:rsidP="00383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34"/>
      </w:tblGrid>
      <w:tr w:rsidR="00CF3D2A" w:rsidRPr="004841F5" w14:paraId="61C3C0EE" w14:textId="77777777" w:rsidTr="002D3A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shd w:val="clear" w:color="auto" w:fill="C5E0B3" w:themeFill="accent6" w:themeFillTint="66"/>
          </w:tcPr>
          <w:p w14:paraId="5502A6BF" w14:textId="442F3847" w:rsidR="00CF3D2A" w:rsidRPr="004841F5" w:rsidRDefault="00CF3D2A" w:rsidP="00E569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OBVEZE ZA MATERIJALNE RASHODE – 10 237,66 </w:t>
            </w:r>
            <w:r w:rsidR="00823956" w:rsidRPr="00484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eura</w:t>
            </w:r>
          </w:p>
        </w:tc>
      </w:tr>
      <w:tr w:rsidR="00CF3D2A" w:rsidRPr="004841F5" w14:paraId="39CD0C99" w14:textId="77777777" w:rsidTr="00CF3D2A">
        <w:tc>
          <w:tcPr>
            <w:tcW w:w="9072" w:type="dxa"/>
          </w:tcPr>
          <w:p w14:paraId="2DCD589B" w14:textId="77777777" w:rsidR="00CF3D2A" w:rsidRPr="004841F5" w:rsidRDefault="00CF3D2A" w:rsidP="00E56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D2A" w:rsidRPr="004841F5" w14:paraId="7DCBA00D" w14:textId="77777777" w:rsidTr="00CF3D2A">
        <w:tc>
          <w:tcPr>
            <w:tcW w:w="9072" w:type="dxa"/>
          </w:tcPr>
          <w:p w14:paraId="0A691EB4" w14:textId="77777777" w:rsidR="00CF3D2A" w:rsidRPr="004841F5" w:rsidRDefault="00CF3D2A" w:rsidP="00E56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sz w:val="24"/>
                <w:szCs w:val="24"/>
              </w:rPr>
              <w:t>OBVEZE PO POČETNOM STANJU – 5 738,87 eura</w:t>
            </w:r>
          </w:p>
        </w:tc>
      </w:tr>
      <w:tr w:rsidR="00CF3D2A" w:rsidRPr="004841F5" w14:paraId="20239016" w14:textId="77777777" w:rsidTr="00CF3D2A">
        <w:tc>
          <w:tcPr>
            <w:tcW w:w="9072" w:type="dxa"/>
          </w:tcPr>
          <w:p w14:paraId="07C80990" w14:textId="77777777" w:rsidR="00CF3D2A" w:rsidRPr="004841F5" w:rsidRDefault="00CF3D2A" w:rsidP="00E56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sz w:val="24"/>
                <w:szCs w:val="24"/>
              </w:rPr>
              <w:t>OBVEZE PO DOBAVLJAČIMA – 4 498,79 eura</w:t>
            </w:r>
          </w:p>
        </w:tc>
      </w:tr>
    </w:tbl>
    <w:p w14:paraId="461FD498" w14:textId="77777777" w:rsidR="00726F49" w:rsidRPr="004841F5" w:rsidRDefault="00726F49" w:rsidP="003830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A1F7C0" w14:textId="77777777" w:rsidR="00A87ACB" w:rsidRPr="004841F5" w:rsidRDefault="00A87ACB" w:rsidP="00A87A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34"/>
      </w:tblGrid>
      <w:tr w:rsidR="00372015" w:rsidRPr="004841F5" w14:paraId="47D58626" w14:textId="77777777" w:rsidTr="002D3A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  <w:shd w:val="clear" w:color="auto" w:fill="C5E0B3" w:themeFill="accent6" w:themeFillTint="66"/>
          </w:tcPr>
          <w:p w14:paraId="6ED3A107" w14:textId="39BF8426" w:rsidR="00372015" w:rsidRPr="004841F5" w:rsidRDefault="00372015" w:rsidP="00197A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OSTALE TEKUĆE OBVEZE - 12 685,94 eura </w:t>
            </w:r>
          </w:p>
        </w:tc>
      </w:tr>
      <w:tr w:rsidR="00372015" w:rsidRPr="004841F5" w14:paraId="367FBBF5" w14:textId="77777777" w:rsidTr="00372015">
        <w:tc>
          <w:tcPr>
            <w:tcW w:w="9072" w:type="dxa"/>
          </w:tcPr>
          <w:p w14:paraId="65883C57" w14:textId="77777777" w:rsidR="00372015" w:rsidRPr="004841F5" w:rsidRDefault="00372015" w:rsidP="00197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015" w:rsidRPr="004841F5" w14:paraId="74998B1F" w14:textId="77777777" w:rsidTr="00372015">
        <w:tc>
          <w:tcPr>
            <w:tcW w:w="9072" w:type="dxa"/>
          </w:tcPr>
          <w:p w14:paraId="5D5A847D" w14:textId="77777777" w:rsidR="00372015" w:rsidRPr="004841F5" w:rsidRDefault="00372015" w:rsidP="00197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sz w:val="24"/>
                <w:szCs w:val="24"/>
              </w:rPr>
              <w:t>BOLOVANJE NA TERET HZZO – 7 119,28 eura</w:t>
            </w:r>
          </w:p>
        </w:tc>
      </w:tr>
      <w:tr w:rsidR="00372015" w:rsidRPr="004841F5" w14:paraId="73E18E0F" w14:textId="77777777" w:rsidTr="00372015">
        <w:tc>
          <w:tcPr>
            <w:tcW w:w="9072" w:type="dxa"/>
          </w:tcPr>
          <w:p w14:paraId="029D9ECB" w14:textId="77777777" w:rsidR="00372015" w:rsidRPr="004841F5" w:rsidRDefault="00372015" w:rsidP="00197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sz w:val="24"/>
                <w:szCs w:val="24"/>
              </w:rPr>
              <w:t>OBVEZE PREMA ŽUPANIJI ZBOG DUPLOG FINANCIRANJA – 14,86 eura</w:t>
            </w:r>
          </w:p>
        </w:tc>
      </w:tr>
      <w:tr w:rsidR="00372015" w:rsidRPr="004841F5" w14:paraId="4E86AD19" w14:textId="77777777" w:rsidTr="00372015">
        <w:tc>
          <w:tcPr>
            <w:tcW w:w="9072" w:type="dxa"/>
          </w:tcPr>
          <w:p w14:paraId="4C46ADCF" w14:textId="77777777" w:rsidR="00372015" w:rsidRPr="004841F5" w:rsidRDefault="00372015" w:rsidP="00197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1F5">
              <w:rPr>
                <w:rFonts w:ascii="Times New Roman" w:hAnsi="Times New Roman" w:cs="Times New Roman"/>
                <w:sz w:val="24"/>
                <w:szCs w:val="24"/>
              </w:rPr>
              <w:t>POVRAT ŽUPANIJI (višak od energetske obnove) – 5 551,80 eura</w:t>
            </w:r>
          </w:p>
        </w:tc>
      </w:tr>
    </w:tbl>
    <w:p w14:paraId="3A9F4C52" w14:textId="77777777" w:rsidR="00372015" w:rsidRPr="004841F5" w:rsidRDefault="00372015" w:rsidP="00823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032584" w14:textId="77777777" w:rsidR="00372015" w:rsidRPr="004841F5" w:rsidRDefault="00372015" w:rsidP="00823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B2E6E8" w14:textId="58FBEF06" w:rsidR="00A87ACB" w:rsidRDefault="00372015" w:rsidP="000A6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896">
        <w:rPr>
          <w:rFonts w:ascii="Times New Roman" w:hAnsi="Times New Roman" w:cs="Times New Roman"/>
          <w:sz w:val="24"/>
          <w:szCs w:val="24"/>
          <w:shd w:val="clear" w:color="auto" w:fill="C5E0B3" w:themeFill="accent6" w:themeFillTint="66"/>
        </w:rPr>
        <w:t>IZVANBILANČNI ZAPISI</w:t>
      </w:r>
      <w:r w:rsidRPr="004841F5">
        <w:rPr>
          <w:rFonts w:ascii="Times New Roman" w:hAnsi="Times New Roman" w:cs="Times New Roman"/>
          <w:sz w:val="24"/>
          <w:szCs w:val="24"/>
        </w:rPr>
        <w:t xml:space="preserve"> u iznosu od 27 359,31 eura odnose se na tuđu imovinu dobivenu na korištenje preko projekta </w:t>
      </w:r>
      <w:r w:rsidRPr="004841F5">
        <w:rPr>
          <w:rFonts w:ascii="Times New Roman" w:hAnsi="Times New Roman" w:cs="Times New Roman"/>
          <w:i/>
          <w:iCs/>
          <w:sz w:val="24"/>
          <w:szCs w:val="24"/>
        </w:rPr>
        <w:t>E-škola</w:t>
      </w:r>
      <w:r w:rsidR="00D87295" w:rsidRPr="004841F5">
        <w:rPr>
          <w:rFonts w:ascii="Times New Roman" w:hAnsi="Times New Roman" w:cs="Times New Roman"/>
          <w:sz w:val="24"/>
          <w:szCs w:val="24"/>
        </w:rPr>
        <w:t xml:space="preserve"> koju nam je dostavio </w:t>
      </w:r>
      <w:proofErr w:type="spellStart"/>
      <w:r w:rsidR="00D87295" w:rsidRPr="004841F5">
        <w:rPr>
          <w:rFonts w:ascii="Times New Roman" w:hAnsi="Times New Roman" w:cs="Times New Roman"/>
          <w:sz w:val="24"/>
          <w:szCs w:val="24"/>
        </w:rPr>
        <w:t>Carnet</w:t>
      </w:r>
      <w:proofErr w:type="spellEnd"/>
      <w:r w:rsidR="00D87295" w:rsidRPr="004841F5">
        <w:rPr>
          <w:rFonts w:ascii="Times New Roman" w:hAnsi="Times New Roman" w:cs="Times New Roman"/>
          <w:sz w:val="24"/>
          <w:szCs w:val="24"/>
        </w:rPr>
        <w:t xml:space="preserve"> i MZO.</w:t>
      </w:r>
    </w:p>
    <w:p w14:paraId="10208C52" w14:textId="77777777" w:rsidR="000B3896" w:rsidRDefault="000B3896" w:rsidP="000A66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083D6D" w14:textId="77777777" w:rsidR="00A87ACB" w:rsidRPr="004841F5" w:rsidRDefault="00A87ACB" w:rsidP="000B389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350F4" w14:textId="1559D377" w:rsidR="00A87ACB" w:rsidRPr="004841F5" w:rsidRDefault="00A87ACB" w:rsidP="00A87A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1F5">
        <w:rPr>
          <w:rFonts w:ascii="Times New Roman" w:hAnsi="Times New Roman" w:cs="Times New Roman"/>
          <w:b/>
          <w:bCs/>
          <w:sz w:val="24"/>
          <w:szCs w:val="24"/>
        </w:rPr>
        <w:t>BILJEŠKE UZ OBRAZAC OBVEZE ZA RAZDOBLJE 01.01. – 31.12.2023. godine</w:t>
      </w:r>
    </w:p>
    <w:p w14:paraId="2E3DDC6E" w14:textId="77777777" w:rsidR="00A87ACB" w:rsidRPr="004841F5" w:rsidRDefault="00A87ACB" w:rsidP="00A87A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B0E33" w14:textId="77777777" w:rsidR="00A87ACB" w:rsidRPr="004841F5" w:rsidRDefault="00A87ACB" w:rsidP="00A87A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1444D7" w14:textId="1B4FDA59" w:rsidR="00A87ACB" w:rsidRPr="004841F5" w:rsidRDefault="00D87295" w:rsidP="00D87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sz w:val="24"/>
          <w:szCs w:val="24"/>
        </w:rPr>
        <w:t>Stanje obveza na kraju izvještajnog razdoblja iznosi 94 160,15 eura.</w:t>
      </w:r>
    </w:p>
    <w:p w14:paraId="6186E6F2" w14:textId="77777777" w:rsidR="00B850D4" w:rsidRPr="004841F5" w:rsidRDefault="00B850D4" w:rsidP="00D87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CBE379" w14:textId="0CB17D44" w:rsidR="00D87295" w:rsidRPr="004841F5" w:rsidRDefault="00D87295" w:rsidP="00D87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1F5">
        <w:rPr>
          <w:rFonts w:ascii="Times New Roman" w:hAnsi="Times New Roman" w:cs="Times New Roman"/>
          <w:sz w:val="24"/>
          <w:szCs w:val="24"/>
        </w:rPr>
        <w:t>Obvez</w:t>
      </w:r>
      <w:r w:rsidR="00634A24">
        <w:rPr>
          <w:rFonts w:ascii="Times New Roman" w:hAnsi="Times New Roman" w:cs="Times New Roman"/>
          <w:sz w:val="24"/>
          <w:szCs w:val="24"/>
        </w:rPr>
        <w:t>e</w:t>
      </w:r>
      <w:r w:rsidRPr="004841F5">
        <w:rPr>
          <w:rFonts w:ascii="Times New Roman" w:hAnsi="Times New Roman" w:cs="Times New Roman"/>
          <w:sz w:val="24"/>
          <w:szCs w:val="24"/>
        </w:rPr>
        <w:t xml:space="preserve"> za plaću prosinac: </w:t>
      </w:r>
    </w:p>
    <w:tbl>
      <w:tblPr>
        <w:tblStyle w:val="Reetkatablice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34"/>
      </w:tblGrid>
      <w:tr w:rsidR="00D87295" w:rsidRPr="00D87295" w14:paraId="051B651F" w14:textId="77777777" w:rsidTr="00B85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72" w:type="dxa"/>
          </w:tcPr>
          <w:p w14:paraId="42E277D1" w14:textId="77A9F049" w:rsidR="00D87295" w:rsidRPr="00D87295" w:rsidRDefault="00D87295" w:rsidP="00D87295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8729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P</w:t>
            </w:r>
            <w:r w:rsidRPr="004841F5">
              <w:rPr>
                <w:rFonts w:ascii="Times New Roman" w:eastAsiaTheme="minorHAnsi" w:hAnsi="Times New Roman" w:cs="Times New Roman"/>
                <w:caps w:val="0"/>
                <w:kern w:val="2"/>
                <w:sz w:val="24"/>
                <w:szCs w:val="24"/>
                <w:lang w:eastAsia="en-US"/>
                <w14:ligatures w14:val="standardContextual"/>
              </w:rPr>
              <w:t>laća asistenti, prosinac</w:t>
            </w:r>
            <w:r w:rsidRPr="00D8729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– 1 </w:t>
            </w:r>
            <w:r w:rsidR="002D3A2D" w:rsidRPr="004841F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964,70</w:t>
            </w:r>
            <w:r w:rsidRPr="00D8729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4841F5">
              <w:rPr>
                <w:rFonts w:ascii="Times New Roman" w:eastAsiaTheme="minorHAnsi" w:hAnsi="Times New Roman" w:cs="Times New Roman"/>
                <w:caps w:val="0"/>
                <w:kern w:val="2"/>
                <w:sz w:val="24"/>
                <w:szCs w:val="24"/>
                <w:lang w:eastAsia="en-US"/>
                <w14:ligatures w14:val="standardContextual"/>
              </w:rPr>
              <w:t>eura</w:t>
            </w:r>
          </w:p>
        </w:tc>
      </w:tr>
      <w:tr w:rsidR="00D87295" w:rsidRPr="00D87295" w14:paraId="1965D72C" w14:textId="77777777" w:rsidTr="00B850D4">
        <w:tc>
          <w:tcPr>
            <w:tcW w:w="9072" w:type="dxa"/>
          </w:tcPr>
          <w:p w14:paraId="070301B9" w14:textId="7312078A" w:rsidR="00D87295" w:rsidRPr="00D87295" w:rsidRDefault="00D87295" w:rsidP="00D87295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8729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Plaća produženi boravak, prosinac – 2 </w:t>
            </w:r>
            <w:r w:rsidR="002D3A2D" w:rsidRPr="004841F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203,99</w:t>
            </w:r>
            <w:r w:rsidRPr="00D8729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eura</w:t>
            </w:r>
          </w:p>
        </w:tc>
      </w:tr>
      <w:tr w:rsidR="00D87295" w:rsidRPr="00D87295" w14:paraId="5AB98E98" w14:textId="77777777" w:rsidTr="00B850D4">
        <w:tc>
          <w:tcPr>
            <w:tcW w:w="9072" w:type="dxa"/>
          </w:tcPr>
          <w:p w14:paraId="72FC78F7" w14:textId="77777777" w:rsidR="00D87295" w:rsidRPr="00D87295" w:rsidRDefault="00D87295" w:rsidP="00D87295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8729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Materijalna prava, prosinac – 1 040,07 eura</w:t>
            </w:r>
          </w:p>
        </w:tc>
      </w:tr>
      <w:tr w:rsidR="00D87295" w:rsidRPr="00D87295" w14:paraId="6F0DADDB" w14:textId="77777777" w:rsidTr="00B850D4">
        <w:tc>
          <w:tcPr>
            <w:tcW w:w="9072" w:type="dxa"/>
          </w:tcPr>
          <w:p w14:paraId="78BD027C" w14:textId="17E9FC92" w:rsidR="00D87295" w:rsidRPr="004841F5" w:rsidRDefault="00D87295" w:rsidP="00D87295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D8729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Plaća za zaposlenike, prosinac –</w:t>
            </w:r>
            <w:r w:rsidR="002D3A2D" w:rsidRPr="004841F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="002D3A2D" w:rsidRPr="004841F5">
              <w:rPr>
                <w:rFonts w:ascii="Times New Roman" w:hAnsi="Times New Roman" w:cs="Times New Roman"/>
                <w:sz w:val="24"/>
                <w:szCs w:val="24"/>
              </w:rPr>
              <w:t xml:space="preserve">62 503,72 </w:t>
            </w:r>
            <w:r w:rsidRPr="00D8729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eura</w:t>
            </w:r>
            <w:r w:rsidRPr="00484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0149F6" w14:textId="4D057433" w:rsidR="00D87295" w:rsidRPr="004841F5" w:rsidRDefault="00D87295" w:rsidP="00D87295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841F5">
              <w:rPr>
                <w:rFonts w:ascii="Times New Roman" w:hAnsi="Times New Roman" w:cs="Times New Roman"/>
                <w:sz w:val="24"/>
                <w:szCs w:val="24"/>
              </w:rPr>
              <w:t xml:space="preserve">Bolovanje na teret </w:t>
            </w:r>
            <w:r w:rsidR="00B850D4" w:rsidRPr="004841F5">
              <w:rPr>
                <w:rFonts w:ascii="Times New Roman" w:hAnsi="Times New Roman" w:cs="Times New Roman"/>
                <w:sz w:val="24"/>
                <w:szCs w:val="24"/>
              </w:rPr>
              <w:t>HZZO</w:t>
            </w:r>
            <w:r w:rsidRPr="004841F5">
              <w:rPr>
                <w:rFonts w:ascii="Times New Roman" w:hAnsi="Times New Roman" w:cs="Times New Roman"/>
                <w:sz w:val="24"/>
                <w:szCs w:val="24"/>
              </w:rPr>
              <w:t xml:space="preserve"> – 7 119,28 eura</w:t>
            </w:r>
          </w:p>
          <w:p w14:paraId="67C02C93" w14:textId="17D86142" w:rsidR="00D87295" w:rsidRPr="004841F5" w:rsidRDefault="00B850D4" w:rsidP="00D87295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841F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Obveze po dobavljačima </w:t>
            </w:r>
            <w:r w:rsidR="00D87295" w:rsidRPr="004841F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– 4 498,79 eura</w:t>
            </w:r>
          </w:p>
          <w:p w14:paraId="05C826C0" w14:textId="6500770E" w:rsidR="00B850D4" w:rsidRPr="004841F5" w:rsidRDefault="00B850D4" w:rsidP="00D87295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841F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Obveze prema županiji zbog duplog financiranja – 14,86 eura</w:t>
            </w:r>
          </w:p>
          <w:p w14:paraId="1CBB85AA" w14:textId="7A9DF569" w:rsidR="00B850D4" w:rsidRPr="004841F5" w:rsidRDefault="00B850D4" w:rsidP="00D87295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841F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Povrat županiji (višak od energetske obnove) – 5 551,80 eura</w:t>
            </w:r>
          </w:p>
          <w:p w14:paraId="2DB0A635" w14:textId="18927C5B" w:rsidR="004D7767" w:rsidRPr="004841F5" w:rsidRDefault="004D7767" w:rsidP="00D87295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841F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Obveze za udžbenike – 6 292,21 eura</w:t>
            </w:r>
          </w:p>
          <w:p w14:paraId="2B673774" w14:textId="6E20288B" w:rsidR="00D87295" w:rsidRPr="004841F5" w:rsidRDefault="0093572F" w:rsidP="002D3A2D">
            <w:pPr>
              <w:numPr>
                <w:ilvl w:val="0"/>
                <w:numId w:val="2"/>
              </w:numPr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841F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Ostale obveze -  2 885,79 eura</w:t>
            </w:r>
          </w:p>
          <w:p w14:paraId="1BA04898" w14:textId="3B82FC19" w:rsidR="0093572F" w:rsidRPr="00D87295" w:rsidRDefault="0093572F" w:rsidP="002D3A2D">
            <w:pPr>
              <w:numPr>
                <w:ilvl w:val="0"/>
                <w:numId w:val="2"/>
              </w:numPr>
              <w:jc w:val="both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4841F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Oporezivi prijevoz – 84,94 eura</w:t>
            </w:r>
          </w:p>
        </w:tc>
      </w:tr>
    </w:tbl>
    <w:p w14:paraId="0528271B" w14:textId="77777777" w:rsidR="00A87ACB" w:rsidRPr="004841F5" w:rsidRDefault="00A87ACB" w:rsidP="009357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7C95A" w14:textId="77777777" w:rsidR="0093572F" w:rsidRPr="004841F5" w:rsidRDefault="0093572F" w:rsidP="009357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18EE8" w14:textId="77777777" w:rsidR="0093572F" w:rsidRPr="004841F5" w:rsidRDefault="0093572F" w:rsidP="009357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4DF47" w14:textId="77777777" w:rsidR="0093572F" w:rsidRPr="004841F5" w:rsidRDefault="0093572F" w:rsidP="009357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0BFD031" w14:textId="77777777" w:rsidR="00DE3364" w:rsidRDefault="00DE3364" w:rsidP="00DE3364">
      <w:pPr>
        <w:spacing w:after="803" w:line="265" w:lineRule="auto"/>
        <w:ind w:left="101" w:right="86" w:hanging="10"/>
        <w:jc w:val="center"/>
      </w:pPr>
      <w:r>
        <w:rPr>
          <w:rFonts w:ascii="Times New Roman" w:eastAsia="Times New Roman" w:hAnsi="Times New Roman" w:cs="Times New Roman"/>
        </w:rPr>
        <w:lastRenderedPageBreak/>
        <w:t>BILJEŠKE UZ OBRAZAC P-VRIO</w:t>
      </w:r>
    </w:p>
    <w:p w14:paraId="39A2D3D9" w14:textId="77777777" w:rsidR="00DE3364" w:rsidRDefault="00DE3364" w:rsidP="00DE3364">
      <w:pPr>
        <w:spacing w:after="526"/>
        <w:ind w:left="19"/>
      </w:pPr>
      <w:r>
        <w:rPr>
          <w:rFonts w:ascii="Times New Roman" w:eastAsia="Times New Roman" w:hAnsi="Times New Roman" w:cs="Times New Roman"/>
        </w:rPr>
        <w:t>Promjena u obujmu imovine</w:t>
      </w:r>
    </w:p>
    <w:p w14:paraId="36A602D3" w14:textId="77777777" w:rsidR="00DE3364" w:rsidRDefault="00DE3364" w:rsidP="00DE3364">
      <w:pPr>
        <w:spacing w:line="363" w:lineRule="auto"/>
        <w:ind w:left="24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EFB0D70" wp14:editId="103F5948">
            <wp:simplePos x="0" y="0"/>
            <wp:positionH relativeFrom="page">
              <wp:posOffset>5053924</wp:posOffset>
            </wp:positionH>
            <wp:positionV relativeFrom="page">
              <wp:posOffset>10443440</wp:posOffset>
            </wp:positionV>
            <wp:extent cx="374929" cy="6097"/>
            <wp:effectExtent l="0" t="0" r="0" b="0"/>
            <wp:wrapTopAndBottom/>
            <wp:docPr id="13000" name="Picture 13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0" name="Picture 1300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492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Povećanje se odnosi na donacije knjiga osnivača, Varaždinske županije, u iznosu od 129,00 eura.</w:t>
      </w:r>
    </w:p>
    <w:p w14:paraId="21B08BDF" w14:textId="77777777" w:rsidR="00DE3364" w:rsidRDefault="00DE3364" w:rsidP="00DE3364">
      <w:pPr>
        <w:spacing w:line="350" w:lineRule="auto"/>
        <w:ind w:left="29" w:right="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Ostatak iznosa od 4.828,47 eura odnosi se na prijenos imovine i povećanje imovine škole, a oprema se do sada vodila u poslovnim knjigama Ministarstva znanosti i obrazovanja. </w:t>
      </w:r>
      <w:proofErr w:type="spellStart"/>
      <w:r>
        <w:rPr>
          <w:rFonts w:ascii="Times New Roman" w:eastAsia="Times New Roman" w:hAnsi="Times New Roman" w:cs="Times New Roman"/>
        </w:rPr>
        <w:t>Skolaje</w:t>
      </w:r>
      <w:proofErr w:type="spellEnd"/>
      <w:r>
        <w:rPr>
          <w:rFonts w:ascii="Times New Roman" w:eastAsia="Times New Roman" w:hAnsi="Times New Roman" w:cs="Times New Roman"/>
        </w:rPr>
        <w:t xml:space="preserve"> bila sudionik projekta Podrška provedbi Cjelovite kurikularne reforme (CKR).</w:t>
      </w:r>
    </w:p>
    <w:p w14:paraId="569887A7" w14:textId="77777777" w:rsidR="00DE3364" w:rsidRDefault="00DE3364" w:rsidP="00DE3364">
      <w:pPr>
        <w:rPr>
          <w:rFonts w:ascii="Times New Roman" w:eastAsia="Times New Roman" w:hAnsi="Times New Roman" w:cs="Times New Roman"/>
        </w:rPr>
      </w:pPr>
    </w:p>
    <w:p w14:paraId="178A30A6" w14:textId="77777777" w:rsidR="00DE3364" w:rsidRDefault="00DE3364" w:rsidP="00DE3364">
      <w:pPr>
        <w:spacing w:after="263"/>
      </w:pPr>
      <w:r>
        <w:rPr>
          <w:rFonts w:ascii="Times New Roman" w:eastAsia="Times New Roman" w:hAnsi="Times New Roman" w:cs="Times New Roman"/>
        </w:rPr>
        <w:t xml:space="preserve">U Donjoj </w:t>
      </w:r>
      <w:proofErr w:type="spellStart"/>
      <w:r>
        <w:rPr>
          <w:rFonts w:ascii="Times New Roman" w:eastAsia="Times New Roman" w:hAnsi="Times New Roman" w:cs="Times New Roman"/>
        </w:rPr>
        <w:t>voći</w:t>
      </w:r>
      <w:proofErr w:type="spellEnd"/>
      <w:r>
        <w:rPr>
          <w:rFonts w:ascii="Times New Roman" w:eastAsia="Times New Roman" w:hAnsi="Times New Roman" w:cs="Times New Roman"/>
        </w:rPr>
        <w:t>, 31.1.2024.</w:t>
      </w:r>
    </w:p>
    <w:p w14:paraId="2B78FED6" w14:textId="77777777" w:rsidR="00DE3364" w:rsidRDefault="00DE3364" w:rsidP="00DE3364">
      <w:pPr>
        <w:tabs>
          <w:tab w:val="right" w:pos="8276"/>
        </w:tabs>
      </w:pPr>
      <w:r>
        <w:rPr>
          <w:rFonts w:ascii="Times New Roman" w:eastAsia="Times New Roman" w:hAnsi="Times New Roman" w:cs="Times New Roman"/>
        </w:rPr>
        <w:t>Osoba za kontaktiranje: Tajana Šprem</w:t>
      </w:r>
      <w:r>
        <w:rPr>
          <w:rFonts w:ascii="Times New Roman" w:eastAsia="Times New Roman" w:hAnsi="Times New Roman" w:cs="Times New Roman"/>
        </w:rPr>
        <w:tab/>
        <w:t>Odgovorna osoba:</w:t>
      </w:r>
    </w:p>
    <w:p w14:paraId="5BD529DD" w14:textId="77777777" w:rsidR="00DE3364" w:rsidRDefault="00DE3364" w:rsidP="00DE3364">
      <w:pPr>
        <w:ind w:left="1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Ksenija </w:t>
      </w:r>
      <w:proofErr w:type="spellStart"/>
      <w:r>
        <w:rPr>
          <w:rFonts w:ascii="Times New Roman" w:eastAsia="Times New Roman" w:hAnsi="Times New Roman" w:cs="Times New Roman"/>
        </w:rPr>
        <w:t>Čretni</w:t>
      </w:r>
      <w:proofErr w:type="spellEnd"/>
    </w:p>
    <w:p w14:paraId="093F4514" w14:textId="54FD9FE3" w:rsidR="00DE3364" w:rsidRPr="00DE3364" w:rsidRDefault="00DE3364" w:rsidP="00DE3364">
      <w:pPr>
        <w:ind w:left="10"/>
        <w:rPr>
          <w:rFonts w:ascii="Times New Roman" w:eastAsia="Times New Roman" w:hAnsi="Times New Roman" w:cs="Times New Roman"/>
        </w:rPr>
        <w:sectPr w:rsidR="00DE3364" w:rsidRPr="00DE3364">
          <w:pgSz w:w="11900" w:h="16840"/>
          <w:pgMar w:top="1346" w:right="1536" w:bottom="1820" w:left="133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5EA9E11F" wp14:editId="362E56A0">
            <wp:simplePos x="0" y="0"/>
            <wp:positionH relativeFrom="margin">
              <wp:align>right</wp:align>
            </wp:positionH>
            <wp:positionV relativeFrom="paragraph">
              <wp:posOffset>6461</wp:posOffset>
            </wp:positionV>
            <wp:extent cx="1558456" cy="1759502"/>
            <wp:effectExtent l="0" t="0" r="3810" b="0"/>
            <wp:wrapSquare wrapText="bothSides"/>
            <wp:docPr id="1" name="Picture 22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9" name="Picture 22019"/>
                    <pic:cNvPicPr/>
                  </pic:nvPicPr>
                  <pic:blipFill rotWithShape="1">
                    <a:blip r:embed="rId25"/>
                    <a:srcRect t="2640" r="1466"/>
                    <a:stretch/>
                  </pic:blipFill>
                  <pic:spPr bwMode="auto">
                    <a:xfrm>
                      <a:off x="0" y="0"/>
                      <a:ext cx="1558456" cy="1759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</w:rPr>
        <w:t>Tel: 042 766 120</w:t>
      </w:r>
    </w:p>
    <w:p w14:paraId="69361347" w14:textId="59455C95" w:rsidR="00A87ACB" w:rsidRPr="004841F5" w:rsidRDefault="00A87ACB" w:rsidP="00A87AC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87ACB" w:rsidRPr="004841F5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F87EA" w14:textId="77777777" w:rsidR="00531EEF" w:rsidRDefault="00531EEF" w:rsidP="000A6631">
      <w:pPr>
        <w:spacing w:after="0" w:line="240" w:lineRule="auto"/>
      </w:pPr>
      <w:r>
        <w:separator/>
      </w:r>
    </w:p>
  </w:endnote>
  <w:endnote w:type="continuationSeparator" w:id="0">
    <w:p w14:paraId="055FD1B4" w14:textId="77777777" w:rsidR="00531EEF" w:rsidRDefault="00531EEF" w:rsidP="000A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0E87C" w14:textId="663C6C1D" w:rsidR="000A6631" w:rsidRDefault="000A6631" w:rsidP="000B3896">
    <w:pPr>
      <w:pStyle w:val="Podnoje"/>
    </w:pPr>
  </w:p>
  <w:p w14:paraId="708E9416" w14:textId="77777777" w:rsidR="000A6631" w:rsidRDefault="000A663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7B3AC" w14:textId="77777777" w:rsidR="00531EEF" w:rsidRDefault="00531EEF" w:rsidP="000A6631">
      <w:pPr>
        <w:spacing w:after="0" w:line="240" w:lineRule="auto"/>
      </w:pPr>
      <w:r>
        <w:separator/>
      </w:r>
    </w:p>
  </w:footnote>
  <w:footnote w:type="continuationSeparator" w:id="0">
    <w:p w14:paraId="21D9DC7B" w14:textId="77777777" w:rsidR="00531EEF" w:rsidRDefault="00531EEF" w:rsidP="000A6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C637F"/>
    <w:multiLevelType w:val="hybridMultilevel"/>
    <w:tmpl w:val="0FEE70B4"/>
    <w:lvl w:ilvl="0" w:tplc="1B6A0718">
      <w:start w:val="63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352E3"/>
    <w:multiLevelType w:val="hybridMultilevel"/>
    <w:tmpl w:val="368CF3F2"/>
    <w:lvl w:ilvl="0" w:tplc="9C76DA66">
      <w:start w:val="16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51"/>
    <w:rsid w:val="0001480A"/>
    <w:rsid w:val="00051427"/>
    <w:rsid w:val="000A6631"/>
    <w:rsid w:val="000A70D5"/>
    <w:rsid w:val="000B3896"/>
    <w:rsid w:val="000D64FB"/>
    <w:rsid w:val="00230699"/>
    <w:rsid w:val="0027266F"/>
    <w:rsid w:val="00281E71"/>
    <w:rsid w:val="002D0991"/>
    <w:rsid w:val="002D3A2D"/>
    <w:rsid w:val="002F65F2"/>
    <w:rsid w:val="00372015"/>
    <w:rsid w:val="003830B7"/>
    <w:rsid w:val="003C6C98"/>
    <w:rsid w:val="003E2358"/>
    <w:rsid w:val="003E25DF"/>
    <w:rsid w:val="004841F5"/>
    <w:rsid w:val="004D7767"/>
    <w:rsid w:val="00531EEF"/>
    <w:rsid w:val="006036DF"/>
    <w:rsid w:val="00634A24"/>
    <w:rsid w:val="006443B7"/>
    <w:rsid w:val="00691634"/>
    <w:rsid w:val="006B7A72"/>
    <w:rsid w:val="006B7FB6"/>
    <w:rsid w:val="006D0AA6"/>
    <w:rsid w:val="00726F49"/>
    <w:rsid w:val="007341F3"/>
    <w:rsid w:val="00823956"/>
    <w:rsid w:val="008B42A4"/>
    <w:rsid w:val="008D3773"/>
    <w:rsid w:val="00904D28"/>
    <w:rsid w:val="0093572F"/>
    <w:rsid w:val="00A87ACB"/>
    <w:rsid w:val="00B152BD"/>
    <w:rsid w:val="00B850D4"/>
    <w:rsid w:val="00CF3D2A"/>
    <w:rsid w:val="00D87295"/>
    <w:rsid w:val="00DC6451"/>
    <w:rsid w:val="00DE3364"/>
    <w:rsid w:val="00E80844"/>
    <w:rsid w:val="00E92E24"/>
    <w:rsid w:val="00EF36EA"/>
    <w:rsid w:val="00F01054"/>
    <w:rsid w:val="00F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1A69"/>
  <w15:chartTrackingRefBased/>
  <w15:docId w15:val="{84E7C35A-7D96-420C-B066-2B140A59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aliases w:val="statistika"/>
    <w:basedOn w:val="Elegantnatablica"/>
    <w:uiPriority w:val="39"/>
    <w:rsid w:val="00F01054"/>
    <w:pPr>
      <w:spacing w:after="0" w:line="240" w:lineRule="auto"/>
    </w:pPr>
    <w:rPr>
      <w:rFonts w:eastAsiaTheme="minorEastAsia"/>
      <w:kern w:val="0"/>
      <w:sz w:val="20"/>
      <w:szCs w:val="20"/>
      <w:lang w:eastAsia="hr-HR"/>
      <w14:ligatures w14:val="none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atablica">
    <w:name w:val="Table Elegant"/>
    <w:basedOn w:val="Obinatablica"/>
    <w:uiPriority w:val="99"/>
    <w:semiHidden/>
    <w:unhideWhenUsed/>
    <w:rsid w:val="00F0105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eza">
    <w:name w:val="Hyperlink"/>
    <w:basedOn w:val="Zadanifontodlomka"/>
    <w:uiPriority w:val="99"/>
    <w:semiHidden/>
    <w:unhideWhenUsed/>
    <w:rsid w:val="00EF36E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E31A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A6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6631"/>
  </w:style>
  <w:style w:type="paragraph" w:styleId="Podnoje">
    <w:name w:val="footer"/>
    <w:basedOn w:val="Normal"/>
    <w:link w:val="PodnojeChar"/>
    <w:uiPriority w:val="99"/>
    <w:unhideWhenUsed/>
    <w:rsid w:val="000A6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6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7" TargetMode="External"/><Relationship Id="rId13" Type="http://schemas.openxmlformats.org/officeDocument/2006/relationships/hyperlink" Target="https://www.zakon.hr/cms.htm?id=72" TargetMode="External"/><Relationship Id="rId18" Type="http://schemas.openxmlformats.org/officeDocument/2006/relationships/hyperlink" Target="https://www.zakon.hr/cms.htm?id=17751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4620" TargetMode="External"/><Relationship Id="rId7" Type="http://schemas.openxmlformats.org/officeDocument/2006/relationships/hyperlink" Target="https://www.zakon.hr/cms.htm?id=66" TargetMode="External"/><Relationship Id="rId12" Type="http://schemas.openxmlformats.org/officeDocument/2006/relationships/hyperlink" Target="https://www.zakon.hr/cms.htm?id=71" TargetMode="External"/><Relationship Id="rId17" Type="http://schemas.openxmlformats.org/officeDocument/2006/relationships/hyperlink" Target="https://www.zakon.hr/cms.htm?id=1671" TargetMode="External"/><Relationship Id="rId25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480" TargetMode="External"/><Relationship Id="rId20" Type="http://schemas.openxmlformats.org/officeDocument/2006/relationships/hyperlink" Target="https://www.zakon.hr/cms.htm?id=408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70" TargetMode="External"/><Relationship Id="rId24" Type="http://schemas.openxmlformats.org/officeDocument/2006/relationships/image" Target="media/image1.jpg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182" TargetMode="External"/><Relationship Id="rId23" Type="http://schemas.openxmlformats.org/officeDocument/2006/relationships/hyperlink" Target="https://www.zakon.hr/cms.htm?id=5908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zakon.hr/cms.htm?id=69" TargetMode="External"/><Relationship Id="rId19" Type="http://schemas.openxmlformats.org/officeDocument/2006/relationships/hyperlink" Target="https://www.zakon.hr/cms.htm?id=312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68" TargetMode="External"/><Relationship Id="rId14" Type="http://schemas.openxmlformats.org/officeDocument/2006/relationships/hyperlink" Target="https://www.zakon.hr/cms.htm?id=73" TargetMode="External"/><Relationship Id="rId22" Type="http://schemas.openxmlformats.org/officeDocument/2006/relationships/hyperlink" Target="https://www.zakon.hr/cms.htm?id=5512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Računovodstvo</cp:lastModifiedBy>
  <cp:revision>26</cp:revision>
  <cp:lastPrinted>2024-01-31T18:02:00Z</cp:lastPrinted>
  <dcterms:created xsi:type="dcterms:W3CDTF">2024-01-30T16:47:00Z</dcterms:created>
  <dcterms:modified xsi:type="dcterms:W3CDTF">2024-01-31T18:13:00Z</dcterms:modified>
</cp:coreProperties>
</file>