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682B" w14:textId="77777777" w:rsidR="002A22F5" w:rsidRPr="002A22F5" w:rsidRDefault="002A22F5" w:rsidP="002A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2A22F5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R E P U B L I K A    H R V A T S K A</w:t>
      </w:r>
    </w:p>
    <w:p w14:paraId="4BD9E155" w14:textId="77777777" w:rsidR="002A22F5" w:rsidRPr="002A22F5" w:rsidRDefault="002A22F5" w:rsidP="002A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2A22F5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 xml:space="preserve">ŽUPANIJA VARAŽDINSKA </w:t>
      </w:r>
    </w:p>
    <w:p w14:paraId="00A65E10" w14:textId="77777777" w:rsidR="002A22F5" w:rsidRPr="002A22F5" w:rsidRDefault="002A22F5" w:rsidP="002A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2A22F5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Osnovna škola ANDRIJE KAČIĆA MIOŠIĆA, DONJA VOĆA</w:t>
      </w:r>
    </w:p>
    <w:p w14:paraId="097339AC" w14:textId="77777777" w:rsidR="002A22F5" w:rsidRDefault="002A22F5" w:rsidP="002A2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2A22F5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Donja Voća 19 d, 42245, Donja Voća</w:t>
      </w:r>
    </w:p>
    <w:p w14:paraId="3D9BF1A2" w14:textId="77777777" w:rsidR="00417B80" w:rsidRPr="00417B80" w:rsidRDefault="00417B80" w:rsidP="00417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417B80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KLASA: 112-04/24-01/4</w:t>
      </w:r>
    </w:p>
    <w:p w14:paraId="0C1C6B4C" w14:textId="22919BEF" w:rsidR="00417B80" w:rsidRPr="002A22F5" w:rsidRDefault="00417B80" w:rsidP="00417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417B80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URBROJ: 2186-117-10-24-7</w:t>
      </w:r>
    </w:p>
    <w:p w14:paraId="24783542" w14:textId="77777777" w:rsidR="002A22F5" w:rsidRPr="002A22F5" w:rsidRDefault="002A22F5" w:rsidP="002A22F5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2A22F5">
        <w:rPr>
          <w:rFonts w:ascii="Times New Roman" w:eastAsia="Times New Roman" w:hAnsi="Times New Roman" w:cs="Times New Roman"/>
          <w:i/>
          <w:sz w:val="20"/>
          <w:szCs w:val="20"/>
          <w:lang w:val="hr-HR" w:eastAsia="hr-HR"/>
        </w:rPr>
        <w:t>e-adresa</w:t>
      </w:r>
      <w:r w:rsidRPr="002A22F5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: </w:t>
      </w:r>
      <w:hyperlink r:id="rId5" w:history="1">
        <w:r w:rsidRPr="002A22F5">
          <w:rPr>
            <w:rFonts w:ascii="Times New Roman" w:eastAsia="Times New Roman" w:hAnsi="Times New Roman" w:cs="Times New Roman"/>
            <w:color w:val="0000FF"/>
            <w:szCs w:val="17"/>
            <w:u w:val="single"/>
            <w:shd w:val="clear" w:color="auto" w:fill="F2FCFC"/>
            <w:lang w:val="hr-HR" w:eastAsia="hr-HR"/>
          </w:rPr>
          <w:t>ured@os-akmiosica-donja-voca.skole.hr</w:t>
        </w:r>
      </w:hyperlink>
    </w:p>
    <w:p w14:paraId="329FE5AE" w14:textId="77777777" w:rsidR="002A22F5" w:rsidRPr="002A22F5" w:rsidRDefault="002A22F5" w:rsidP="002A22F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 w:eastAsia="hr-HR"/>
        </w:rPr>
      </w:pPr>
    </w:p>
    <w:p w14:paraId="665AF175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49EE03DF" w14:textId="49758B2A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Na temelju članka 7. Pravilnika o načinu i postupku zapošljavanja u O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Š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Andrije Kačića Miošića, Donja Voća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a vezano uz raspisani na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tječaj KLASA: 112-0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/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2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-01/</w:t>
      </w:r>
      <w:r w:rsidR="00A3349C">
        <w:rPr>
          <w:rFonts w:ascii="Times New Roman" w:hAnsi="Times New Roman" w:cs="Times New Roman"/>
          <w:color w:val="000000" w:themeColor="text1"/>
          <w:lang w:val="hr-HR"/>
        </w:rPr>
        <w:t>4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URBROJ</w:t>
      </w:r>
      <w:r w:rsidR="00E70E82" w:rsidRPr="0089715E">
        <w:rPr>
          <w:rFonts w:ascii="Times New Roman" w:hAnsi="Times New Roman" w:cs="Times New Roman"/>
          <w:color w:val="000000" w:themeColor="text1"/>
          <w:lang w:val="hr-HR"/>
        </w:rPr>
        <w:t>:</w:t>
      </w:r>
      <w:r w:rsidR="00FD0292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2186-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117-01-2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-1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od 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>1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6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rujna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20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2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4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. godine za zasnivanje radnog odnosa na radnom mjestu 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UČITELJ/ICA 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 xml:space="preserve">KOJI/A OBAVLJA POSLOVE UČITELJA </w:t>
      </w:r>
      <w:r w:rsidR="003F367D">
        <w:rPr>
          <w:rFonts w:ascii="Times New Roman" w:hAnsi="Times New Roman" w:cs="Times New Roman"/>
          <w:color w:val="000000" w:themeColor="text1"/>
          <w:lang w:val="hr-HR"/>
        </w:rPr>
        <w:t xml:space="preserve">INFORMATIKE </w:t>
      </w:r>
      <w:bookmarkStart w:id="0" w:name="_GoBack"/>
      <w:bookmarkEnd w:id="0"/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na </w:t>
      </w:r>
      <w:r w:rsidR="00A3349C">
        <w:rPr>
          <w:rFonts w:ascii="Times New Roman" w:hAnsi="Times New Roman" w:cs="Times New Roman"/>
          <w:color w:val="000000" w:themeColor="text1"/>
          <w:lang w:val="hr-HR"/>
        </w:rPr>
        <w:t>ne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određeno puno radno vrijeme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A3349C">
        <w:rPr>
          <w:rFonts w:ascii="Times New Roman" w:hAnsi="Times New Roman" w:cs="Times New Roman"/>
          <w:color w:val="000000" w:themeColor="text1"/>
          <w:lang w:val="hr-HR"/>
        </w:rPr>
        <w:t>40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sati tjedno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 xml:space="preserve"> ukupno radno vrijeme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 xml:space="preserve"> – zamjena za učiteljicu koja koristi neplaćeni dopust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Povjerenstvo za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procjenu i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vrednovanje kandidata objavljuje</w:t>
      </w:r>
    </w:p>
    <w:p w14:paraId="4B177134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D5EC702" w14:textId="6F8E9BCC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 xml:space="preserve">SADRŽAJ I NAČIN TESTIRANJA I PRAVNE IZVORE ZA PRIPREMANJE KANDIDATA ZA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RAZGOVOR</w:t>
      </w:r>
    </w:p>
    <w:p w14:paraId="18057FE1" w14:textId="77777777" w:rsidR="001F5277" w:rsidRPr="0089715E" w:rsidRDefault="001F5277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0DAAC5D7" w14:textId="12F6535D" w:rsidR="001F5277" w:rsidRPr="004171E0" w:rsidRDefault="001F5277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 xml:space="preserve">VRIJEME I MJESTO ODRŽAVANJA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U</w:t>
      </w:r>
      <w:r w:rsidR="002F19D6">
        <w:rPr>
          <w:rFonts w:ascii="Times New Roman" w:hAnsi="Times New Roman" w:cs="Times New Roman"/>
          <w:b/>
          <w:color w:val="000000" w:themeColor="text1"/>
          <w:lang w:val="hr-HR"/>
        </w:rPr>
        <w:t>S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MENOG TESTIRANJA</w:t>
      </w:r>
      <w:r w:rsidR="00A3349C">
        <w:rPr>
          <w:rFonts w:ascii="Times New Roman" w:hAnsi="Times New Roman" w:cs="Times New Roman"/>
          <w:b/>
          <w:color w:val="000000" w:themeColor="text1"/>
          <w:lang w:val="hr-HR"/>
        </w:rPr>
        <w:t xml:space="preserve">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(INTERVJU)</w:t>
      </w: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>:</w:t>
      </w:r>
    </w:p>
    <w:p w14:paraId="6B749229" w14:textId="440A1043" w:rsidR="001F5277" w:rsidRPr="00A3349C" w:rsidRDefault="001F5277" w:rsidP="001F5277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3349C">
        <w:rPr>
          <w:rFonts w:ascii="Times New Roman" w:hAnsi="Times New Roman" w:cs="Times New Roman"/>
          <w:lang w:val="hr-HR"/>
        </w:rPr>
        <w:t>Usmeno tes</w:t>
      </w:r>
      <w:r w:rsidR="00A3349C" w:rsidRPr="00A3349C">
        <w:rPr>
          <w:rFonts w:ascii="Times New Roman" w:hAnsi="Times New Roman" w:cs="Times New Roman"/>
          <w:lang w:val="hr-HR"/>
        </w:rPr>
        <w:t xml:space="preserve">tiranje (intervju) održati će se </w:t>
      </w:r>
      <w:r w:rsidR="002A22F5">
        <w:rPr>
          <w:rFonts w:ascii="Times New Roman" w:hAnsi="Times New Roman" w:cs="Times New Roman"/>
          <w:lang w:val="hr-HR"/>
        </w:rPr>
        <w:t>9</w:t>
      </w:r>
      <w:r w:rsidR="00A3349C" w:rsidRPr="00A3349C">
        <w:rPr>
          <w:rFonts w:ascii="Times New Roman" w:hAnsi="Times New Roman" w:cs="Times New Roman"/>
          <w:lang w:val="hr-HR"/>
        </w:rPr>
        <w:t>. listopada 202</w:t>
      </w:r>
      <w:r w:rsidR="002A22F5">
        <w:rPr>
          <w:rFonts w:ascii="Times New Roman" w:hAnsi="Times New Roman" w:cs="Times New Roman"/>
          <w:lang w:val="hr-HR"/>
        </w:rPr>
        <w:t>4</w:t>
      </w:r>
      <w:r w:rsidR="00A3349C" w:rsidRPr="00A3349C">
        <w:rPr>
          <w:rFonts w:ascii="Times New Roman" w:hAnsi="Times New Roman" w:cs="Times New Roman"/>
          <w:lang w:val="hr-HR"/>
        </w:rPr>
        <w:t>. u prostorima Osnovne škole Andrije Kačića Miošića, Donja Voća.</w:t>
      </w:r>
      <w:r w:rsidR="008256DC">
        <w:rPr>
          <w:rFonts w:ascii="Times New Roman" w:hAnsi="Times New Roman" w:cs="Times New Roman"/>
          <w:lang w:val="hr-HR"/>
        </w:rPr>
        <w:t xml:space="preserve"> O vremenu </w:t>
      </w:r>
      <w:r w:rsidR="00376A82">
        <w:rPr>
          <w:rFonts w:ascii="Times New Roman" w:hAnsi="Times New Roman" w:cs="Times New Roman"/>
          <w:lang w:val="hr-HR"/>
        </w:rPr>
        <w:t>testiranja kandidati će biti obaviješteni putem elektroničke pošte.</w:t>
      </w:r>
    </w:p>
    <w:p w14:paraId="72180C8D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1FA67F86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>PRAVILA TESTIRANJA:</w:t>
      </w:r>
    </w:p>
    <w:p w14:paraId="51770CB9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FF0000"/>
          <w:lang w:val="hr-HR"/>
        </w:rPr>
      </w:pPr>
    </w:p>
    <w:p w14:paraId="5F2FF543" w14:textId="54E1718C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Sukladno odredbama Pravilnika o načinu i postupku zapošljavanja u O</w:t>
      </w:r>
      <w:r w:rsidR="0029581D" w:rsidRPr="0089715E">
        <w:rPr>
          <w:rFonts w:ascii="Times New Roman" w:hAnsi="Times New Roman" w:cs="Times New Roman"/>
          <w:color w:val="000000" w:themeColor="text1"/>
          <w:lang w:val="hr-HR"/>
        </w:rPr>
        <w:t xml:space="preserve">Š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Andrije Kačića Miošića, Donja Voća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obavit će se provjera znanja i sposobnosti kandidata.</w:t>
      </w:r>
    </w:p>
    <w:p w14:paraId="4DE1064C" w14:textId="27F13C1B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Provjera se sastoji od  razgovora (intervjua) kandidata s Povjerenstvom.</w:t>
      </w:r>
    </w:p>
    <w:p w14:paraId="4CBB6E38" w14:textId="208EC4E1" w:rsidR="0001297D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Kandidati koji ispunjavaju formalne uvjete iz natječaja obvezni su pristupiti provjeri znanja i sposobnosti putem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razgovora (intervjua)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4D8047AA" w14:textId="1F0D9417" w:rsidR="00CD27F8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Ako kandidat ne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dođe na razgovor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smatra se da je povukao prijavu na natječaj.</w:t>
      </w:r>
    </w:p>
    <w:p w14:paraId="4D4A1F1F" w14:textId="77777777" w:rsidR="00CD27F8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Kandidati/</w:t>
      </w:r>
      <w:proofErr w:type="spellStart"/>
      <w:r w:rsidRPr="0089715E">
        <w:rPr>
          <w:rFonts w:ascii="Times New Roman" w:hAnsi="Times New Roman" w:cs="Times New Roman"/>
          <w:color w:val="000000" w:themeColor="text1"/>
          <w:lang w:val="hr-HR"/>
        </w:rPr>
        <w:t>tkinje</w:t>
      </w:r>
      <w:proofErr w:type="spellEnd"/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dužni su sa sobom ponijeti osobnu iskaznicu ili drugu identifikacijsku javnu ispravu na temelju koje se utvrđuje identitet kandidata/</w:t>
      </w:r>
      <w:proofErr w:type="spellStart"/>
      <w:r w:rsidRPr="0089715E">
        <w:rPr>
          <w:rFonts w:ascii="Times New Roman" w:hAnsi="Times New Roman" w:cs="Times New Roman"/>
          <w:color w:val="000000" w:themeColor="text1"/>
          <w:lang w:val="hr-HR"/>
        </w:rPr>
        <w:t>tkinje</w:t>
      </w:r>
      <w:proofErr w:type="spellEnd"/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075A4161" w14:textId="2776D4F6" w:rsidR="00CC40CA" w:rsidRPr="00C41D5E" w:rsidRDefault="004171E0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Razgovoru</w:t>
      </w:r>
      <w:r w:rsidR="00C4395C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ne mogu pristupiti kandidati koji ne mogu dokazati identitet i osobe za koje je Povjerenstvo utvrdilo da ne ispunjavaju formalne uvjete iz natječaja, te čije prijave nisu pravodobne i potpune.</w:t>
      </w:r>
    </w:p>
    <w:p w14:paraId="2C8AD778" w14:textId="77777777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Povjerenstvo kroz intervju s kandidatima utvrđuje znanja, sposobnosti i vještine te interese, profesionalne ciljeve i motivaciju kandidata za rad na radnom mjestu za koje se prijavio.</w:t>
      </w:r>
    </w:p>
    <w:p w14:paraId="6578D708" w14:textId="1D348EE0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Intervju se boduje na način da svaki član Povjerenstva ima pravo postavljati pitanja koja se vrednuju od strane svakog član</w:t>
      </w:r>
      <w:r w:rsidR="00A3349C">
        <w:rPr>
          <w:rFonts w:ascii="Times New Roman" w:hAnsi="Times New Roman" w:cs="Times New Roman"/>
          <w:color w:val="000000" w:themeColor="text1"/>
          <w:lang w:val="hr-HR"/>
        </w:rPr>
        <w:t xml:space="preserve">a Povjerenstva od 1 do </w:t>
      </w:r>
      <w:r w:rsidR="00376A82">
        <w:rPr>
          <w:rFonts w:ascii="Times New Roman" w:hAnsi="Times New Roman" w:cs="Times New Roman"/>
          <w:color w:val="000000" w:themeColor="text1"/>
          <w:lang w:val="hr-HR"/>
        </w:rPr>
        <w:t>10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67DE2FD6" w14:textId="77777777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51DE0E17" w14:textId="435FA312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Nakon 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>provedenog postupka testiranja, Povjerenstvo utvrđuje rang listu kandidata prema ukupnom broju bodova, te ju dostavlja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ici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škole. Na temelju dostavljene rang liste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ica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 xml:space="preserve">predlaže kandidatkinju 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>Školskom odboru. Prije donošenja odluke,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ica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zadržava pravo pozvati kandidat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kinju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na razgovor.</w:t>
      </w:r>
    </w:p>
    <w:p w14:paraId="4ECF7108" w14:textId="01A65D90" w:rsidR="00074FFB" w:rsidRPr="0089715E" w:rsidRDefault="00074FFB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O rezultatima natječaja kandida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 xml:space="preserve">tkinja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će biti obaviješten</w:t>
      </w:r>
      <w:r w:rsidR="002A22F5">
        <w:rPr>
          <w:rFonts w:ascii="Times New Roman" w:hAnsi="Times New Roman" w:cs="Times New Roman"/>
          <w:color w:val="000000" w:themeColor="text1"/>
          <w:lang w:val="hr-HR"/>
        </w:rPr>
        <w:t>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sukladno članku 24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.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Pravilnika.</w:t>
      </w:r>
    </w:p>
    <w:p w14:paraId="0730103C" w14:textId="77777777" w:rsidR="00074FFB" w:rsidRPr="0089715E" w:rsidRDefault="00074FFB" w:rsidP="001F5277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59EB767B" w14:textId="20258354" w:rsidR="00074FFB" w:rsidRPr="0041025D" w:rsidRDefault="00627D31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lastRenderedPageBreak/>
        <w:t>SADRŽAJ VREDNOVANJA KANDIDATA (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>PRAVNI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 xml:space="preserve"> I DRUGI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IZVORI ZA PRIPREMANJE KANDIDATA ZA </w:t>
      </w:r>
      <w:r w:rsidR="00C41D5E">
        <w:rPr>
          <w:rFonts w:ascii="Times New Roman" w:hAnsi="Times New Roman" w:cs="Times New Roman"/>
          <w:b/>
          <w:color w:val="000000" w:themeColor="text1"/>
          <w:lang w:val="hr-HR"/>
        </w:rPr>
        <w:t>RAZGOVOR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>)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ZA RADNO MJEST</w:t>
      </w:r>
      <w:r w:rsidR="00007098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O </w:t>
      </w:r>
      <w:r w:rsidR="00C41D5E">
        <w:rPr>
          <w:rFonts w:ascii="Times New Roman" w:hAnsi="Times New Roman" w:cs="Times New Roman"/>
          <w:b/>
          <w:color w:val="000000" w:themeColor="text1"/>
          <w:lang w:val="hr-HR"/>
        </w:rPr>
        <w:t xml:space="preserve">UČITELJA/ICE </w:t>
      </w:r>
      <w:r w:rsidR="002A22F5">
        <w:rPr>
          <w:rFonts w:ascii="Times New Roman" w:hAnsi="Times New Roman" w:cs="Times New Roman"/>
          <w:b/>
          <w:color w:val="000000" w:themeColor="text1"/>
          <w:lang w:val="hr-HR"/>
        </w:rPr>
        <w:t>INFORMATIKE</w:t>
      </w:r>
      <w:r w:rsidR="00C41D5E">
        <w:rPr>
          <w:rFonts w:ascii="Times New Roman" w:hAnsi="Times New Roman" w:cs="Times New Roman"/>
          <w:b/>
          <w:color w:val="000000" w:themeColor="text1"/>
          <w:lang w:val="hr-HR"/>
        </w:rPr>
        <w:t xml:space="preserve"> 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>SU:</w:t>
      </w:r>
    </w:p>
    <w:p w14:paraId="392D3EBA" w14:textId="5AF01A5B" w:rsidR="00074FFB" w:rsidRPr="00A3349C" w:rsidRDefault="00074FFB" w:rsidP="00BB51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hr-HR"/>
        </w:rPr>
      </w:pPr>
      <w:r w:rsidRPr="00A3349C">
        <w:rPr>
          <w:rFonts w:ascii="Times New Roman" w:hAnsi="Times New Roman" w:cs="Times New Roman"/>
          <w:color w:val="000000" w:themeColor="text1"/>
          <w:sz w:val="24"/>
          <w:lang w:val="hr-HR"/>
        </w:rPr>
        <w:t>Zakon o odgoju i obrazovanju u osnovnoj i srednjoj školi (</w:t>
      </w:r>
      <w:r w:rsidR="00C41D5E" w:rsidRPr="00A3349C">
        <w:rPr>
          <w:rFonts w:ascii="Arial" w:hAnsi="Arial" w:cs="Arial"/>
          <w:szCs w:val="21"/>
        </w:rPr>
        <w:t>NN </w:t>
      </w:r>
      <w:hyperlink r:id="rId6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87/08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7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86/09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8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92/10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9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105/10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0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90/11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1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5/12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2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16/12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3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86/12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4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126/12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5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94/13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6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  <w:bdr w:val="none" w:sz="0" w:space="0" w:color="auto" w:frame="1"/>
          </w:rPr>
          <w:t>152/14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7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07/17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8" w:tgtFrame="_blank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68/18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19" w:tgtFrame="_blank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98/19</w:t>
        </w:r>
      </w:hyperlink>
      <w:r w:rsidR="00C41D5E" w:rsidRPr="00A3349C">
        <w:rPr>
          <w:rFonts w:ascii="Arial" w:hAnsi="Arial" w:cs="Arial"/>
          <w:szCs w:val="21"/>
        </w:rPr>
        <w:t>, </w:t>
      </w:r>
      <w:hyperlink r:id="rId20" w:history="1">
        <w:r w:rsidR="00C41D5E" w:rsidRPr="00A3349C">
          <w:rPr>
            <w:rStyle w:val="Hiperveza"/>
            <w:rFonts w:ascii="Arial" w:hAnsi="Arial" w:cs="Arial"/>
            <w:bCs/>
            <w:color w:val="auto"/>
            <w:szCs w:val="21"/>
            <w:u w:val="none"/>
          </w:rPr>
          <w:t>64/20</w:t>
        </w:r>
      </w:hyperlink>
      <w:r w:rsidR="002F19D6">
        <w:rPr>
          <w:rStyle w:val="Hiperveza"/>
          <w:rFonts w:ascii="Arial" w:hAnsi="Arial" w:cs="Arial"/>
          <w:bCs/>
          <w:color w:val="auto"/>
          <w:szCs w:val="21"/>
          <w:u w:val="none"/>
        </w:rPr>
        <w:t>, 151/22, 155/23, 156/23</w:t>
      </w:r>
      <w:r w:rsidRPr="00A3349C">
        <w:rPr>
          <w:rFonts w:ascii="Times New Roman" w:hAnsi="Times New Roman" w:cs="Times New Roman"/>
          <w:sz w:val="24"/>
          <w:lang w:val="hr-HR"/>
        </w:rPr>
        <w:t xml:space="preserve"> </w:t>
      </w:r>
      <w:r w:rsidR="000A2364" w:rsidRPr="00A3349C">
        <w:rPr>
          <w:rFonts w:ascii="Times New Roman" w:hAnsi="Times New Roman" w:cs="Times New Roman"/>
          <w:sz w:val="24"/>
          <w:lang w:val="hr-HR"/>
        </w:rPr>
        <w:t>)</w:t>
      </w:r>
    </w:p>
    <w:p w14:paraId="55A7AC1D" w14:textId="18152B9E" w:rsidR="00A3349C" w:rsidRDefault="00A3349C" w:rsidP="00BB518C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41025D">
        <w:rPr>
          <w:color w:val="000000" w:themeColor="text1"/>
        </w:rPr>
        <w:t xml:space="preserve">Odluka o donošenju kurikuluma za </w:t>
      </w:r>
      <w:r w:rsidR="004F30B5">
        <w:rPr>
          <w:color w:val="000000" w:themeColor="text1"/>
        </w:rPr>
        <w:t xml:space="preserve">nastavni predmet </w:t>
      </w:r>
      <w:r w:rsidR="002A22F5">
        <w:rPr>
          <w:color w:val="000000" w:themeColor="text1"/>
        </w:rPr>
        <w:t>Informatik</w:t>
      </w:r>
      <w:r w:rsidR="004F30B5">
        <w:rPr>
          <w:color w:val="000000" w:themeColor="text1"/>
        </w:rPr>
        <w:t>a za osnovne škole i gimnazije u Republici Hrvatskoj</w:t>
      </w:r>
      <w:r w:rsidR="00513066">
        <w:rPr>
          <w:color w:val="000000" w:themeColor="text1"/>
        </w:rPr>
        <w:t xml:space="preserve"> </w:t>
      </w:r>
      <w:r w:rsidRPr="0041025D">
        <w:rPr>
          <w:color w:val="000000" w:themeColor="text1"/>
        </w:rPr>
        <w:t xml:space="preserve">(NN </w:t>
      </w:r>
      <w:r w:rsidR="002A22F5">
        <w:rPr>
          <w:color w:val="000000" w:themeColor="text1"/>
        </w:rPr>
        <w:t>22</w:t>
      </w:r>
      <w:r w:rsidRPr="0041025D">
        <w:rPr>
          <w:color w:val="000000" w:themeColor="text1"/>
        </w:rPr>
        <w:t>/201</w:t>
      </w:r>
      <w:r w:rsidR="002A22F5">
        <w:rPr>
          <w:color w:val="000000" w:themeColor="text1"/>
        </w:rPr>
        <w:t>8</w:t>
      </w:r>
      <w:r w:rsidRPr="00BB518C">
        <w:rPr>
          <w:color w:val="000000" w:themeColor="text1"/>
        </w:rPr>
        <w:t>)</w:t>
      </w:r>
    </w:p>
    <w:p w14:paraId="79A18420" w14:textId="25769ECA" w:rsidR="0041025D" w:rsidRPr="00E609EE" w:rsidRDefault="00007098" w:rsidP="0041025D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E609EE">
        <w:rPr>
          <w:color w:val="000000" w:themeColor="text1"/>
        </w:rPr>
        <w:t xml:space="preserve">Pravilnik o načinima, postupcima i elementima vrednovanja učenika u osnovnoj i srednjoj školi </w:t>
      </w:r>
      <w:r w:rsidR="00E609EE" w:rsidRPr="00E609EE">
        <w:rPr>
          <w:color w:val="000000" w:themeColor="text1"/>
        </w:rPr>
        <w:t>(</w:t>
      </w:r>
      <w:r w:rsidR="00C41D5E">
        <w:rPr>
          <w:color w:val="000000"/>
        </w:rPr>
        <w:t>112/10, 82/19, 43/20 i 100/21</w:t>
      </w:r>
      <w:r w:rsidR="00E609EE" w:rsidRPr="00E609EE">
        <w:rPr>
          <w:color w:val="000000" w:themeColor="text1"/>
        </w:rPr>
        <w:t>.)</w:t>
      </w:r>
    </w:p>
    <w:p w14:paraId="3D40A6A3" w14:textId="77777777" w:rsidR="00627D31" w:rsidRDefault="00007098" w:rsidP="00627D31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E609EE">
        <w:rPr>
          <w:color w:val="000000" w:themeColor="text1"/>
        </w:rPr>
        <w:t>Pravilnik o načinu postupanja odgojno-obrazovnih radnika školskih ustanova u poduzimanju mjera zaštite prava učenika te prijave svakog kršenja tih prava</w:t>
      </w:r>
      <w:r w:rsidR="00E609EE">
        <w:rPr>
          <w:color w:val="000000" w:themeColor="text1"/>
        </w:rPr>
        <w:t xml:space="preserve"> (NN 132/13)</w:t>
      </w:r>
    </w:p>
    <w:p w14:paraId="75BE3612" w14:textId="77777777" w:rsidR="00627D31" w:rsidRPr="00627D31" w:rsidRDefault="00007098" w:rsidP="00627D31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627D31">
        <w:rPr>
          <w:color w:val="000000" w:themeColor="text1"/>
        </w:rPr>
        <w:t>Pravilnik o osnovnoškolskom i srednjoškolskom odgoju i obrazovanju učenika s teškoćama u razvoju</w:t>
      </w:r>
      <w:r w:rsidR="00E609EE" w:rsidRPr="00627D31">
        <w:rPr>
          <w:color w:val="000000" w:themeColor="text1"/>
        </w:rPr>
        <w:t xml:space="preserve"> (24/15)</w:t>
      </w:r>
      <w:r w:rsidR="00627D31" w:rsidRPr="00627D31">
        <w:t xml:space="preserve"> </w:t>
      </w:r>
    </w:p>
    <w:p w14:paraId="0EB9E21E" w14:textId="787A648B" w:rsidR="00A354F0" w:rsidRDefault="00A354F0" w:rsidP="0089715E">
      <w:pPr>
        <w:pStyle w:val="Odlomakpopisa"/>
        <w:ind w:left="3600"/>
        <w:rPr>
          <w:rFonts w:ascii="Times New Roman" w:hAnsi="Times New Roman" w:cs="Times New Roman"/>
          <w:b/>
          <w:lang w:val="hr-HR"/>
        </w:rPr>
      </w:pPr>
      <w:r w:rsidRPr="0089715E">
        <w:rPr>
          <w:rFonts w:ascii="Times New Roman" w:hAnsi="Times New Roman" w:cs="Times New Roman"/>
          <w:b/>
          <w:lang w:val="hr-HR"/>
        </w:rPr>
        <w:t xml:space="preserve">Povjerenstvo za </w:t>
      </w:r>
      <w:r w:rsidR="00007098" w:rsidRPr="0089715E">
        <w:rPr>
          <w:rFonts w:ascii="Times New Roman" w:hAnsi="Times New Roman" w:cs="Times New Roman"/>
          <w:b/>
          <w:lang w:val="hr-HR"/>
        </w:rPr>
        <w:t xml:space="preserve">procjenu i </w:t>
      </w:r>
      <w:r w:rsidRPr="0089715E">
        <w:rPr>
          <w:rFonts w:ascii="Times New Roman" w:hAnsi="Times New Roman" w:cs="Times New Roman"/>
          <w:b/>
          <w:lang w:val="hr-HR"/>
        </w:rPr>
        <w:t xml:space="preserve">vrednovanje kandidata </w:t>
      </w:r>
    </w:p>
    <w:p w14:paraId="7C5091C2" w14:textId="77777777" w:rsidR="00417B80" w:rsidRPr="00417B80" w:rsidRDefault="00417B80" w:rsidP="00417B80"/>
    <w:p w14:paraId="79DDF0D2" w14:textId="77777777" w:rsidR="00417B80" w:rsidRDefault="00417B80" w:rsidP="00417B80">
      <w:pPr>
        <w:rPr>
          <w:rFonts w:ascii="Times New Roman" w:hAnsi="Times New Roman" w:cs="Times New Roman"/>
          <w:b/>
          <w:lang w:val="hr-HR"/>
        </w:rPr>
      </w:pPr>
    </w:p>
    <w:p w14:paraId="2E3253F7" w14:textId="3C811CE8" w:rsidR="00417B80" w:rsidRPr="00417B80" w:rsidRDefault="00417B80" w:rsidP="00417B80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EB72A" wp14:editId="04C77196">
            <wp:simplePos x="0" y="0"/>
            <wp:positionH relativeFrom="column">
              <wp:posOffset>-4445</wp:posOffset>
            </wp:positionH>
            <wp:positionV relativeFrom="paragraph">
              <wp:posOffset>324485</wp:posOffset>
            </wp:positionV>
            <wp:extent cx="2171700" cy="485775"/>
            <wp:effectExtent l="0" t="0" r="0" b="0"/>
            <wp:wrapTopAndBottom/>
            <wp:docPr id="1167664707" name="Slika 1" descr="Slika na kojoj se prikazuje uzorak, umjetničko djelo, crno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64707" name="Slika 1" descr="Slika na kojoj se prikazuje uzorak, umjetničko djelo, crno, bijelo&#10;&#10;Opis je automatski generiran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7B80" w:rsidRPr="00417B80" w:rsidSect="005E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2F51F07"/>
    <w:multiLevelType w:val="hybridMultilevel"/>
    <w:tmpl w:val="630C2C62"/>
    <w:lvl w:ilvl="0" w:tplc="F42A9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97D"/>
    <w:rsid w:val="00007098"/>
    <w:rsid w:val="0001297D"/>
    <w:rsid w:val="00074FFB"/>
    <w:rsid w:val="000A2364"/>
    <w:rsid w:val="001F5277"/>
    <w:rsid w:val="00247B50"/>
    <w:rsid w:val="0029581D"/>
    <w:rsid w:val="002A22F5"/>
    <w:rsid w:val="002F19D6"/>
    <w:rsid w:val="00376A82"/>
    <w:rsid w:val="003F367D"/>
    <w:rsid w:val="0041025D"/>
    <w:rsid w:val="004171E0"/>
    <w:rsid w:val="00417B80"/>
    <w:rsid w:val="004F30B5"/>
    <w:rsid w:val="00513066"/>
    <w:rsid w:val="005D3D52"/>
    <w:rsid w:val="005E1A83"/>
    <w:rsid w:val="00627D31"/>
    <w:rsid w:val="00636D0C"/>
    <w:rsid w:val="006E3218"/>
    <w:rsid w:val="008256DC"/>
    <w:rsid w:val="0089715E"/>
    <w:rsid w:val="00A3349C"/>
    <w:rsid w:val="00A354F0"/>
    <w:rsid w:val="00AD7454"/>
    <w:rsid w:val="00BB518C"/>
    <w:rsid w:val="00C41D5E"/>
    <w:rsid w:val="00C4395C"/>
    <w:rsid w:val="00CC40CA"/>
    <w:rsid w:val="00CD27F8"/>
    <w:rsid w:val="00D349D6"/>
    <w:rsid w:val="00D95E90"/>
    <w:rsid w:val="00E609EE"/>
    <w:rsid w:val="00E70E82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D38"/>
  <w15:docId w15:val="{D371623C-9DB7-41A0-A3C7-DE1B45C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39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0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C4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hyperlink" Target="https://www.zakon.hr/cms.htm?id=446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5" Type="http://schemas.openxmlformats.org/officeDocument/2006/relationships/hyperlink" Target="mailto:ured@os-akmiosica-donja-voca.skole.hr" TargetMode="External"/><Relationship Id="rId15" Type="http://schemas.openxmlformats.org/officeDocument/2006/relationships/hyperlink" Target="https://www.zakon.hr/cms.htm?id=4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KORISNIK</cp:lastModifiedBy>
  <cp:revision>19</cp:revision>
  <cp:lastPrinted>2024-10-02T10:51:00Z</cp:lastPrinted>
  <dcterms:created xsi:type="dcterms:W3CDTF">2019-09-10T11:28:00Z</dcterms:created>
  <dcterms:modified xsi:type="dcterms:W3CDTF">2024-10-02T10:52:00Z</dcterms:modified>
</cp:coreProperties>
</file>