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2658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R E P U B L I K A    H R V A T S K A</w:t>
      </w:r>
    </w:p>
    <w:p w14:paraId="6A34E5E5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 xml:space="preserve">ŽUPANIJA VARAŽDINSKA </w:t>
      </w:r>
    </w:p>
    <w:p w14:paraId="0A646507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Osnovna škola ANDRIJE KAČIĆA MIOŠIĆA, DONJA VOĆA</w:t>
      </w:r>
    </w:p>
    <w:p w14:paraId="4884610F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Donja Voća 19 d, 42245, Donja Voća</w:t>
      </w:r>
    </w:p>
    <w:p w14:paraId="198C5A0A" w14:textId="77777777" w:rsidR="00182C4E" w:rsidRPr="00182C4E" w:rsidRDefault="00182C4E" w:rsidP="00182C4E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i/>
          <w:sz w:val="20"/>
          <w:szCs w:val="20"/>
          <w:lang w:val="hr-HR" w:eastAsia="hr-HR"/>
        </w:rPr>
        <w:t>e-adresa</w:t>
      </w:r>
      <w:r w:rsidRPr="00182C4E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: </w:t>
      </w:r>
      <w:hyperlink r:id="rId5" w:history="1">
        <w:r w:rsidRPr="00182C4E">
          <w:rPr>
            <w:rFonts w:ascii="Times New Roman" w:eastAsia="Times New Roman" w:hAnsi="Times New Roman" w:cs="Times New Roman"/>
            <w:color w:val="0000FF"/>
            <w:szCs w:val="17"/>
            <w:u w:val="single"/>
            <w:shd w:val="clear" w:color="auto" w:fill="F2FCFC"/>
            <w:lang w:val="hr-HR" w:eastAsia="hr-HR"/>
          </w:rPr>
          <w:t>ured@os-akmiosica-donja-voca.skole.hr</w:t>
        </w:r>
      </w:hyperlink>
    </w:p>
    <w:p w14:paraId="3866E017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 w:eastAsia="hr-HR"/>
        </w:rPr>
      </w:pPr>
    </w:p>
    <w:p w14:paraId="665AF175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49EE03DF" w14:textId="532D4A52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Na temelju članka 7. Pravilnika o načinu i postupku zapošljavanja u O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Š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Andrije Kačića Miošića, Donja Voća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a vezano uz raspisani na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tječaj KLASA: 112-0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/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2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-01/</w:t>
      </w:r>
      <w:r w:rsidR="0099221D">
        <w:rPr>
          <w:rFonts w:ascii="Times New Roman" w:hAnsi="Times New Roman" w:cs="Times New Roman"/>
          <w:color w:val="000000" w:themeColor="text1"/>
          <w:lang w:val="hr-HR"/>
        </w:rPr>
        <w:t>5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URBROJ</w:t>
      </w:r>
      <w:r w:rsidR="00E70E82" w:rsidRPr="0089715E">
        <w:rPr>
          <w:rFonts w:ascii="Times New Roman" w:hAnsi="Times New Roman" w:cs="Times New Roman"/>
          <w:color w:val="000000" w:themeColor="text1"/>
          <w:lang w:val="hr-HR"/>
        </w:rPr>
        <w:t>:</w:t>
      </w:r>
      <w:r w:rsidR="00FD0292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2186-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117-01-2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-1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od 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 xml:space="preserve">4. </w:t>
      </w:r>
      <w:r w:rsidR="0099221D">
        <w:rPr>
          <w:rFonts w:ascii="Times New Roman" w:hAnsi="Times New Roman" w:cs="Times New Roman"/>
          <w:color w:val="000000" w:themeColor="text1"/>
          <w:lang w:val="hr-HR"/>
        </w:rPr>
        <w:t>9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.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20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2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5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. godine za zasnivanje radnog odnosa na radnom mjestu </w:t>
      </w:r>
      <w:r w:rsidR="00182C4E" w:rsidRPr="00182C4E">
        <w:rPr>
          <w:rFonts w:ascii="Times New Roman" w:hAnsi="Times New Roman" w:cs="Times New Roman"/>
          <w:color w:val="000000" w:themeColor="text1"/>
          <w:lang w:val="hr-HR"/>
        </w:rPr>
        <w:t>stručni/a suradnik/</w:t>
      </w:r>
      <w:proofErr w:type="spellStart"/>
      <w:r w:rsidR="00182C4E" w:rsidRPr="00182C4E">
        <w:rPr>
          <w:rFonts w:ascii="Times New Roman" w:hAnsi="Times New Roman" w:cs="Times New Roman"/>
          <w:color w:val="000000" w:themeColor="text1"/>
          <w:lang w:val="hr-HR"/>
        </w:rPr>
        <w:t>ca</w:t>
      </w:r>
      <w:proofErr w:type="spellEnd"/>
      <w:r w:rsidR="00182C4E" w:rsidRPr="00182C4E">
        <w:rPr>
          <w:rFonts w:ascii="Times New Roman" w:hAnsi="Times New Roman" w:cs="Times New Roman"/>
          <w:color w:val="000000" w:themeColor="text1"/>
          <w:lang w:val="hr-HR"/>
        </w:rPr>
        <w:t xml:space="preserve"> – pedagog/inja na neodređeno nepuno radno vrijeme - 20 sati tjedno,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Povjerenstvo za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procjenu i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vrednovanje kandidata objavljuje</w:t>
      </w:r>
    </w:p>
    <w:p w14:paraId="4B177134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D5EC702" w14:textId="6F8E9BCC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 xml:space="preserve">SADRŽAJ I NAČIN TESTIRANJA I PRAVNE IZVORE ZA PRIPREMANJE KANDIDATA ZA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RAZGOVOR</w:t>
      </w:r>
    </w:p>
    <w:p w14:paraId="18057FE1" w14:textId="77777777" w:rsidR="001F5277" w:rsidRPr="0089715E" w:rsidRDefault="001F5277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0DAAC5D7" w14:textId="6F7F02D7" w:rsidR="001F5277" w:rsidRPr="004171E0" w:rsidRDefault="001F5277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 xml:space="preserve">VRIJEME I MJESTO ODRŽAVANJA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UEMENOG TESTIRANJA</w:t>
      </w:r>
      <w:r w:rsidR="00A3349C">
        <w:rPr>
          <w:rFonts w:ascii="Times New Roman" w:hAnsi="Times New Roman" w:cs="Times New Roman"/>
          <w:b/>
          <w:color w:val="000000" w:themeColor="text1"/>
          <w:lang w:val="hr-HR"/>
        </w:rPr>
        <w:t xml:space="preserve">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(INTERVJU)</w:t>
      </w: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>:</w:t>
      </w:r>
    </w:p>
    <w:p w14:paraId="6B749229" w14:textId="28A6D944" w:rsidR="001F5277" w:rsidRPr="00A3349C" w:rsidRDefault="001F5277" w:rsidP="001F5277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3349C">
        <w:rPr>
          <w:rFonts w:ascii="Times New Roman" w:hAnsi="Times New Roman" w:cs="Times New Roman"/>
          <w:lang w:val="hr-HR"/>
        </w:rPr>
        <w:t>Usmeno tes</w:t>
      </w:r>
      <w:r w:rsidR="00A3349C" w:rsidRPr="00A3349C">
        <w:rPr>
          <w:rFonts w:ascii="Times New Roman" w:hAnsi="Times New Roman" w:cs="Times New Roman"/>
          <w:lang w:val="hr-HR"/>
        </w:rPr>
        <w:t xml:space="preserve">tiranje (intervju) održati će se </w:t>
      </w:r>
      <w:r w:rsidR="0099221D">
        <w:rPr>
          <w:rFonts w:ascii="Times New Roman" w:hAnsi="Times New Roman" w:cs="Times New Roman"/>
          <w:lang w:val="hr-HR"/>
        </w:rPr>
        <w:t>25</w:t>
      </w:r>
      <w:r w:rsidR="00A3349C" w:rsidRPr="00A3349C">
        <w:rPr>
          <w:rFonts w:ascii="Times New Roman" w:hAnsi="Times New Roman" w:cs="Times New Roman"/>
          <w:lang w:val="hr-HR"/>
        </w:rPr>
        <w:t xml:space="preserve">. </w:t>
      </w:r>
      <w:r w:rsidR="0099221D">
        <w:rPr>
          <w:rFonts w:ascii="Times New Roman" w:hAnsi="Times New Roman" w:cs="Times New Roman"/>
          <w:lang w:val="hr-HR"/>
        </w:rPr>
        <w:t>rujna</w:t>
      </w:r>
      <w:r w:rsidR="00182C4E">
        <w:rPr>
          <w:rFonts w:ascii="Times New Roman" w:hAnsi="Times New Roman" w:cs="Times New Roman"/>
          <w:lang w:val="hr-HR"/>
        </w:rPr>
        <w:t xml:space="preserve"> 2025</w:t>
      </w:r>
      <w:r w:rsidR="00A3349C" w:rsidRPr="00A3349C">
        <w:rPr>
          <w:rFonts w:ascii="Times New Roman" w:hAnsi="Times New Roman" w:cs="Times New Roman"/>
          <w:lang w:val="hr-HR"/>
        </w:rPr>
        <w:t>. u prostorima Osnovne škole Andrije Kačića Miošića, Donja Voća.</w:t>
      </w:r>
      <w:r w:rsidR="008256DC">
        <w:rPr>
          <w:rFonts w:ascii="Times New Roman" w:hAnsi="Times New Roman" w:cs="Times New Roman"/>
          <w:lang w:val="hr-HR"/>
        </w:rPr>
        <w:t xml:space="preserve"> O vremenu </w:t>
      </w:r>
      <w:r w:rsidR="00376A82">
        <w:rPr>
          <w:rFonts w:ascii="Times New Roman" w:hAnsi="Times New Roman" w:cs="Times New Roman"/>
          <w:lang w:val="hr-HR"/>
        </w:rPr>
        <w:t>testiranja kandidati će biti obaviješteni putem elektroničke pošte.</w:t>
      </w:r>
    </w:p>
    <w:p w14:paraId="72180C8D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1FA67F86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>PRAVILA TESTIRANJA:</w:t>
      </w:r>
    </w:p>
    <w:p w14:paraId="51770CB9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FF0000"/>
          <w:lang w:val="hr-HR"/>
        </w:rPr>
      </w:pPr>
    </w:p>
    <w:p w14:paraId="5F2FF543" w14:textId="54E1718C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Sukladno odredbama Pravilnika o načinu i postupku zapošljavanja u O</w:t>
      </w:r>
      <w:r w:rsidR="0029581D" w:rsidRPr="0089715E">
        <w:rPr>
          <w:rFonts w:ascii="Times New Roman" w:hAnsi="Times New Roman" w:cs="Times New Roman"/>
          <w:color w:val="000000" w:themeColor="text1"/>
          <w:lang w:val="hr-HR"/>
        </w:rPr>
        <w:t xml:space="preserve">Š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Andrije Kačića Miošića, Donja Voća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obavit će se provjera znanja i sposobnosti kandidata.</w:t>
      </w:r>
    </w:p>
    <w:p w14:paraId="4DE1064C" w14:textId="27F13C1B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Provjera se sastoji od  razgovora (intervjua) kandidata s Povjerenstvom.</w:t>
      </w:r>
    </w:p>
    <w:p w14:paraId="4CBB6E38" w14:textId="208EC4E1" w:rsidR="0001297D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Kandidati koji ispunjavaju formalne uvjete iz natječaja obvezni su pristupiti provjeri znanja i sposobnosti putem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razgovora (intervjua)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4D8047AA" w14:textId="1F0D9417" w:rsidR="00CD27F8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Ako kandidat ne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dođe na razgovor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smatra se da je povukao prijavu na natječaj.</w:t>
      </w:r>
    </w:p>
    <w:p w14:paraId="4D4A1F1F" w14:textId="77777777" w:rsidR="00CD27F8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Kandidati/</w:t>
      </w:r>
      <w:proofErr w:type="spellStart"/>
      <w:r w:rsidRPr="0089715E">
        <w:rPr>
          <w:rFonts w:ascii="Times New Roman" w:hAnsi="Times New Roman" w:cs="Times New Roman"/>
          <w:color w:val="000000" w:themeColor="text1"/>
          <w:lang w:val="hr-HR"/>
        </w:rPr>
        <w:t>tkinje</w:t>
      </w:r>
      <w:proofErr w:type="spellEnd"/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dužni su sa sobom ponijeti osobnu iskaznicu ili drugu identifikacijsku javnu ispravu na temelju koje se utvrđuje identitet kandidata/</w:t>
      </w:r>
      <w:proofErr w:type="spellStart"/>
      <w:r w:rsidRPr="0089715E">
        <w:rPr>
          <w:rFonts w:ascii="Times New Roman" w:hAnsi="Times New Roman" w:cs="Times New Roman"/>
          <w:color w:val="000000" w:themeColor="text1"/>
          <w:lang w:val="hr-HR"/>
        </w:rPr>
        <w:t>tkinje</w:t>
      </w:r>
      <w:proofErr w:type="spellEnd"/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075A4161" w14:textId="2776D4F6" w:rsidR="00CC40CA" w:rsidRPr="00C41D5E" w:rsidRDefault="004171E0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Razgovoru</w:t>
      </w:r>
      <w:r w:rsidR="00C4395C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ne mogu pristupiti kandidati koji ne mogu dokazati identitet i osobe za koje je Povjerenstvo utvrdilo da ne ispunjavaju formalne uvjete iz natječaja, te čije prijave nisu pravodobne i potpune.</w:t>
      </w:r>
    </w:p>
    <w:p w14:paraId="2C8AD778" w14:textId="77777777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Povjerenstvo kroz intervju s kandidatima utvrđuje znanja, sposobnosti i vještine te interese, profesionalne ciljeve i motivaciju kandidata za rad na radnom mjestu za koje se prijavio.</w:t>
      </w:r>
    </w:p>
    <w:p w14:paraId="6578D708" w14:textId="1D348EE0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Intervju se boduje na način da svaki član Povjerenstva ima pravo postavljati pitanja koja se vrednuju od strane svakog član</w:t>
      </w:r>
      <w:r w:rsidR="00A3349C">
        <w:rPr>
          <w:rFonts w:ascii="Times New Roman" w:hAnsi="Times New Roman" w:cs="Times New Roman"/>
          <w:color w:val="000000" w:themeColor="text1"/>
          <w:lang w:val="hr-HR"/>
        </w:rPr>
        <w:t xml:space="preserve">a Povjerenstva od 1 do </w:t>
      </w:r>
      <w:r w:rsidR="00376A82">
        <w:rPr>
          <w:rFonts w:ascii="Times New Roman" w:hAnsi="Times New Roman" w:cs="Times New Roman"/>
          <w:color w:val="000000" w:themeColor="text1"/>
          <w:lang w:val="hr-HR"/>
        </w:rPr>
        <w:t>10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67DE2FD6" w14:textId="77777777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51DE0E17" w14:textId="68E6EEC4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Nakon 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>provedenog postupka testiranja, Povjerenstvo utvrđuje rang listu kandidata prema ukupnom broju bodova, te ju dostavlja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ici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škole. Na temelju dostavljene rang liste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ica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odlučuje kojeg će od tri najbolje rangirana kandidata predložiti Školskom odboru. Prije donošenja odluke o kandidatu,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ica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zadržava pravo pozvati kandidate na razgovor.</w:t>
      </w:r>
    </w:p>
    <w:p w14:paraId="4ECF7108" w14:textId="7E62D5DA" w:rsidR="00074FFB" w:rsidRPr="0089715E" w:rsidRDefault="00074FFB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O rezultatima natječaja kandidati će biti obaviješteni sukladno članku 24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.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Pravilnika.</w:t>
      </w:r>
    </w:p>
    <w:p w14:paraId="0730103C" w14:textId="77777777" w:rsidR="00074FFB" w:rsidRPr="0089715E" w:rsidRDefault="00074FFB" w:rsidP="001F5277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59EB767B" w14:textId="21A23E88" w:rsidR="00074FFB" w:rsidRPr="0041025D" w:rsidRDefault="00627D31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SADRŽAJ VREDNOVANJA KANDIDATA (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>PRAVNI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 xml:space="preserve"> I DRUGI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IZVORI ZA PRIPREMANJE KANDIDATA ZA </w:t>
      </w:r>
      <w:r w:rsidR="00C41D5E">
        <w:rPr>
          <w:rFonts w:ascii="Times New Roman" w:hAnsi="Times New Roman" w:cs="Times New Roman"/>
          <w:b/>
          <w:color w:val="000000" w:themeColor="text1"/>
          <w:lang w:val="hr-HR"/>
        </w:rPr>
        <w:t>RAZGOVOR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>)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ZA RADNO MJEST</w:t>
      </w:r>
      <w:r w:rsidR="00007098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O </w:t>
      </w:r>
      <w:r w:rsidR="00F22C4C">
        <w:rPr>
          <w:rFonts w:ascii="Times New Roman" w:hAnsi="Times New Roman" w:cs="Times New Roman"/>
          <w:b/>
          <w:color w:val="000000" w:themeColor="text1"/>
          <w:lang w:val="hr-HR"/>
        </w:rPr>
        <w:t>STRUČNOG SURADNIKA PEDAGOGA / STRUČNE SURADNICE PEDAGOGINJE</w:t>
      </w:r>
      <w:bookmarkStart w:id="0" w:name="_GoBack"/>
      <w:bookmarkEnd w:id="0"/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SU:</w:t>
      </w:r>
    </w:p>
    <w:p w14:paraId="392D3EBA" w14:textId="388F27C5" w:rsidR="00074FFB" w:rsidRPr="00182C4E" w:rsidRDefault="00074FFB" w:rsidP="00BB51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hr-HR"/>
        </w:rPr>
      </w:pPr>
      <w:r w:rsidRPr="00182C4E">
        <w:rPr>
          <w:rFonts w:ascii="Times New Roman" w:hAnsi="Times New Roman" w:cs="Times New Roman"/>
          <w:color w:val="000000" w:themeColor="text1"/>
          <w:sz w:val="24"/>
          <w:lang w:val="hr-HR"/>
        </w:rPr>
        <w:lastRenderedPageBreak/>
        <w:t>Zakon o odgoju i obrazovanju u osnovnoj i srednjoj školi (</w:t>
      </w:r>
      <w:r w:rsidR="00C41D5E" w:rsidRPr="00182C4E">
        <w:rPr>
          <w:rFonts w:ascii="Times New Roman" w:hAnsi="Times New Roman" w:cs="Times New Roman"/>
          <w:szCs w:val="21"/>
        </w:rPr>
        <w:t>NN </w:t>
      </w:r>
      <w:hyperlink r:id="rId6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87/08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7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86/09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8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92/10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9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105/10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0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90/11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1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5/12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2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16/12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3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86/12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4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126/12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5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94/13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6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  <w:bdr w:val="none" w:sz="0" w:space="0" w:color="auto" w:frame="1"/>
          </w:rPr>
          <w:t>152/14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7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07/17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8" w:tgtFrame="_blank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68/18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9" w:tgtFrame="_blank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98/19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20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64/20</w:t>
        </w:r>
      </w:hyperlink>
      <w:r w:rsidRPr="00182C4E">
        <w:rPr>
          <w:rFonts w:ascii="Times New Roman" w:hAnsi="Times New Roman" w:cs="Times New Roman"/>
          <w:sz w:val="24"/>
          <w:lang w:val="hr-HR"/>
        </w:rPr>
        <w:t xml:space="preserve"> </w:t>
      </w:r>
      <w:r w:rsidR="000A2364" w:rsidRPr="00182C4E">
        <w:rPr>
          <w:rFonts w:ascii="Times New Roman" w:hAnsi="Times New Roman" w:cs="Times New Roman"/>
          <w:sz w:val="24"/>
          <w:lang w:val="hr-HR"/>
        </w:rPr>
        <w:t>)</w:t>
      </w:r>
    </w:p>
    <w:p w14:paraId="79A18420" w14:textId="25769ECA" w:rsidR="0041025D" w:rsidRPr="00E609EE" w:rsidRDefault="00007098" w:rsidP="0041025D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E609EE">
        <w:rPr>
          <w:color w:val="000000" w:themeColor="text1"/>
        </w:rPr>
        <w:t xml:space="preserve">Pravilnik o načinima, postupcima i elementima vrednovanja učenika u osnovnoj i srednjoj školi </w:t>
      </w:r>
      <w:r w:rsidR="00E609EE" w:rsidRPr="00E609EE">
        <w:rPr>
          <w:color w:val="000000" w:themeColor="text1"/>
        </w:rPr>
        <w:t>(</w:t>
      </w:r>
      <w:r w:rsidR="00C41D5E">
        <w:rPr>
          <w:color w:val="000000"/>
        </w:rPr>
        <w:t>112/10, 82/19, 43/20 i 100/21</w:t>
      </w:r>
      <w:r w:rsidR="00E609EE" w:rsidRPr="00E609EE">
        <w:rPr>
          <w:color w:val="000000" w:themeColor="text1"/>
        </w:rPr>
        <w:t>.)</w:t>
      </w:r>
    </w:p>
    <w:p w14:paraId="75BE3612" w14:textId="3A07279A" w:rsidR="00627D31" w:rsidRPr="00E5680E" w:rsidRDefault="00007098" w:rsidP="00627D31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627D31">
        <w:rPr>
          <w:color w:val="000000" w:themeColor="text1"/>
        </w:rPr>
        <w:t>Pravilnik o osnovnoškolskom i srednjoškolskom odgoju i obrazovanju učenika s teškoćama u razvoju</w:t>
      </w:r>
      <w:r w:rsidR="00E609EE" w:rsidRPr="00627D31">
        <w:rPr>
          <w:color w:val="000000" w:themeColor="text1"/>
        </w:rPr>
        <w:t xml:space="preserve"> (24/15)</w:t>
      </w:r>
      <w:r w:rsidR="00627D31" w:rsidRPr="00627D31">
        <w:t xml:space="preserve"> </w:t>
      </w:r>
    </w:p>
    <w:p w14:paraId="3F870467" w14:textId="2406D6C0" w:rsidR="00E5680E" w:rsidRPr="00182C4E" w:rsidRDefault="00E5680E" w:rsidP="00627D31">
      <w:pPr>
        <w:pStyle w:val="StandardWe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Pravilnik o kriterijima za izricanje pedagoških mjera (94/15, 03/17)</w:t>
      </w:r>
    </w:p>
    <w:p w14:paraId="659FD69F" w14:textId="77921F71" w:rsidR="00182C4E" w:rsidRPr="00182C4E" w:rsidRDefault="00182C4E" w:rsidP="00182C4E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182C4E">
        <w:rPr>
          <w:color w:val="000000" w:themeColor="text1"/>
        </w:rPr>
        <w:t>Državni pedagoški standard</w:t>
      </w:r>
      <w:r>
        <w:rPr>
          <w:color w:val="000000" w:themeColor="text1"/>
        </w:rPr>
        <w:t xml:space="preserve"> </w:t>
      </w:r>
      <w:r w:rsidRPr="00182C4E">
        <w:rPr>
          <w:color w:val="000000" w:themeColor="text1"/>
        </w:rPr>
        <w:t>osnovnoškolskog sustava odgoja i obrazovanja</w:t>
      </w:r>
      <w:r>
        <w:rPr>
          <w:color w:val="000000" w:themeColor="text1"/>
        </w:rPr>
        <w:t xml:space="preserve"> (63/08)</w:t>
      </w:r>
    </w:p>
    <w:p w14:paraId="0EB9E21E" w14:textId="787A648B" w:rsidR="00A354F0" w:rsidRPr="0089715E" w:rsidRDefault="00A354F0" w:rsidP="0089715E">
      <w:pPr>
        <w:pStyle w:val="Odlomakpopisa"/>
        <w:ind w:left="3600"/>
        <w:rPr>
          <w:rFonts w:ascii="Times New Roman" w:hAnsi="Times New Roman" w:cs="Times New Roman"/>
          <w:color w:val="FF0000"/>
        </w:rPr>
      </w:pPr>
      <w:r w:rsidRPr="0089715E">
        <w:rPr>
          <w:rFonts w:ascii="Times New Roman" w:hAnsi="Times New Roman" w:cs="Times New Roman"/>
          <w:b/>
          <w:lang w:val="hr-HR"/>
        </w:rPr>
        <w:t xml:space="preserve">Povjerenstvo za </w:t>
      </w:r>
      <w:r w:rsidR="00007098" w:rsidRPr="0089715E">
        <w:rPr>
          <w:rFonts w:ascii="Times New Roman" w:hAnsi="Times New Roman" w:cs="Times New Roman"/>
          <w:b/>
          <w:lang w:val="hr-HR"/>
        </w:rPr>
        <w:t xml:space="preserve">procjenu i </w:t>
      </w:r>
      <w:r w:rsidRPr="0089715E">
        <w:rPr>
          <w:rFonts w:ascii="Times New Roman" w:hAnsi="Times New Roman" w:cs="Times New Roman"/>
          <w:b/>
          <w:lang w:val="hr-HR"/>
        </w:rPr>
        <w:t xml:space="preserve">vrednovanje kandidata </w:t>
      </w:r>
    </w:p>
    <w:sectPr w:rsidR="00A354F0" w:rsidRPr="0089715E" w:rsidSect="005E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2F51F07"/>
    <w:multiLevelType w:val="hybridMultilevel"/>
    <w:tmpl w:val="630C2C62"/>
    <w:lvl w:ilvl="0" w:tplc="F42A9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97D"/>
    <w:rsid w:val="00007098"/>
    <w:rsid w:val="0001297D"/>
    <w:rsid w:val="00074FFB"/>
    <w:rsid w:val="000A2364"/>
    <w:rsid w:val="00182C4E"/>
    <w:rsid w:val="001F5277"/>
    <w:rsid w:val="00247B50"/>
    <w:rsid w:val="0029581D"/>
    <w:rsid w:val="00376A82"/>
    <w:rsid w:val="0041025D"/>
    <w:rsid w:val="004171E0"/>
    <w:rsid w:val="00513066"/>
    <w:rsid w:val="005D3D52"/>
    <w:rsid w:val="005E1A83"/>
    <w:rsid w:val="00627D31"/>
    <w:rsid w:val="006E3218"/>
    <w:rsid w:val="008256DC"/>
    <w:rsid w:val="0089715E"/>
    <w:rsid w:val="0099221D"/>
    <w:rsid w:val="00A3349C"/>
    <w:rsid w:val="00A354F0"/>
    <w:rsid w:val="00AD7454"/>
    <w:rsid w:val="00BB518C"/>
    <w:rsid w:val="00C41D5E"/>
    <w:rsid w:val="00C4395C"/>
    <w:rsid w:val="00CC40CA"/>
    <w:rsid w:val="00CD27F8"/>
    <w:rsid w:val="00D349D6"/>
    <w:rsid w:val="00D95E90"/>
    <w:rsid w:val="00E5680E"/>
    <w:rsid w:val="00E609EE"/>
    <w:rsid w:val="00E70E82"/>
    <w:rsid w:val="00F22C4C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D38"/>
  <w15:docId w15:val="{D371623C-9DB7-41A0-A3C7-DE1B45C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39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0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4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hyperlink" Target="https://www.zakon.hr/cms.htm?id=446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5" Type="http://schemas.openxmlformats.org/officeDocument/2006/relationships/hyperlink" Target="mailto:ured@os-akmiosica-donja-voca.skole.hr" TargetMode="External"/><Relationship Id="rId15" Type="http://schemas.openxmlformats.org/officeDocument/2006/relationships/hyperlink" Target="https://www.zakon.hr/cms.htm?id=480" TargetMode="Externa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KORISNIK</cp:lastModifiedBy>
  <cp:revision>17</cp:revision>
  <cp:lastPrinted>2019-09-04T13:53:00Z</cp:lastPrinted>
  <dcterms:created xsi:type="dcterms:W3CDTF">2019-09-10T11:28:00Z</dcterms:created>
  <dcterms:modified xsi:type="dcterms:W3CDTF">2025-09-19T09:46:00Z</dcterms:modified>
</cp:coreProperties>
</file>